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98" w:rsidRPr="00260976" w:rsidRDefault="002B0098" w:rsidP="001E412F">
      <w:pPr>
        <w:spacing w:after="0"/>
        <w:ind w:left="-142" w:firstLine="426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Обзор</w:t>
      </w:r>
    </w:p>
    <w:p w:rsidR="002B0098" w:rsidRPr="00260976" w:rsidRDefault="00556980" w:rsidP="001E412F">
      <w:pPr>
        <w:spacing w:after="0"/>
        <w:ind w:left="-142" w:firstLine="426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основных направлений зарубежн</w:t>
      </w:r>
      <w:r w:rsidR="002B0098"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ого законодательства, </w:t>
      </w:r>
    </w:p>
    <w:p w:rsidR="002B0098" w:rsidRPr="00260976" w:rsidRDefault="002B0098" w:rsidP="001E412F">
      <w:pPr>
        <w:spacing w:after="0"/>
        <w:ind w:left="-142" w:firstLine="426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затрагивающих</w:t>
      </w:r>
      <w:proofErr w:type="gramEnd"/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интересы аудиовизуальной индустрии</w:t>
      </w:r>
    </w:p>
    <w:p w:rsidR="002B0098" w:rsidRDefault="002B0098" w:rsidP="001E412F">
      <w:pPr>
        <w:spacing w:after="0"/>
        <w:ind w:left="-142" w:firstLine="426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(по отчету ФИАПФ за </w:t>
      </w:r>
      <w:r w:rsidR="00650A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октябрь-декабрь</w:t>
      </w:r>
      <w:r w:rsidRPr="002609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 года</w:t>
      </w:r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:rsidR="002B0098" w:rsidRDefault="002B0098" w:rsidP="001E412F">
      <w:pPr>
        <w:spacing w:after="0"/>
        <w:ind w:left="-142" w:firstLine="426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50ADE" w:rsidRDefault="002B0098" w:rsidP="001E412F">
      <w:pPr>
        <w:spacing w:after="0"/>
        <w:ind w:left="-142" w:firstLine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2B009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1. </w:t>
      </w:r>
      <w:r w:rsidR="00650ADE" w:rsidRPr="00650A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Н</w:t>
      </w:r>
      <w:r w:rsidR="00143F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овый состав Европейской комиссии </w:t>
      </w:r>
      <w:r w:rsidR="00650ADE" w:rsidRPr="00650A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(2019-2024</w:t>
      </w:r>
      <w:r w:rsidR="00143F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гг.</w:t>
      </w:r>
      <w:r w:rsidR="00650ADE" w:rsidRPr="00650A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) </w:t>
      </w:r>
    </w:p>
    <w:p w:rsidR="00650ADE" w:rsidRDefault="00650ADE" w:rsidP="001E412F">
      <w:pPr>
        <w:spacing w:after="0"/>
        <w:ind w:left="-142" w:firstLine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50ADE" w:rsidRDefault="009A1F91" w:rsidP="001E412F">
      <w:pPr>
        <w:spacing w:after="0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ый состав</w:t>
      </w:r>
      <w:r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Европейск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ой</w:t>
      </w:r>
      <w:r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комисси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(2019-2024)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</w:t>
      </w:r>
      <w:r w:rsid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твержденн</w:t>
      </w:r>
      <w:r w:rsidR="00143F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ый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Евро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парламентом 27 ноября 2019 года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приступил</w:t>
      </w:r>
      <w:r w:rsidR="00143F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работе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декабря 2019 года.</w:t>
      </w:r>
    </w:p>
    <w:p w:rsidR="00650ADE" w:rsidRPr="00650ADE" w:rsidRDefault="00A6691B" w:rsidP="001E412F">
      <w:pPr>
        <w:spacing w:after="0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Неудивительно, что приоритетными направлениями работы</w:t>
      </w:r>
      <w:r w:rsidR="00143F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нового состава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40D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названы</w:t>
      </w:r>
      <w:r w:rsid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вопросы изменения климата,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цифровизации</w:t>
      </w:r>
      <w:proofErr w:type="spellEnd"/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технологи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ческого развития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экономическ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ой политики, социальной конвергенции</w:t>
      </w:r>
      <w:r w:rsidR="0072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 также укрепления 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Европейского </w:t>
      </w:r>
      <w:proofErr w:type="gramStart"/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союза</w:t>
      </w:r>
      <w:proofErr w:type="gramEnd"/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 в</w:t>
      </w:r>
      <w:r w:rsidR="0072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рамках самого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ЕС, так и на международной арене.</w:t>
      </w:r>
    </w:p>
    <w:p w:rsidR="00650ADE" w:rsidRDefault="00650ADE" w:rsidP="001E412F">
      <w:pPr>
        <w:spacing w:after="0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Особый интерес </w:t>
      </w:r>
      <w:r w:rsidR="004E0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</w:t>
      </w:r>
      <w:r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кино</w:t>
      </w:r>
      <w:r w:rsidR="0072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индустрии</w:t>
      </w:r>
      <w:r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представляет обещание нового</w:t>
      </w:r>
      <w:r w:rsidR="00540D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Председателя</w:t>
      </w:r>
      <w:r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Еврокомиссии «</w:t>
      </w:r>
      <w:r w:rsidR="0072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подготовить</w:t>
      </w:r>
      <w:r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Европу </w:t>
      </w:r>
      <w:r w:rsidR="0072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</w:t>
      </w:r>
      <w:r w:rsidR="00AE25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жизни в </w:t>
      </w:r>
      <w:r w:rsidR="0072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</w:t>
      </w:r>
      <w:r w:rsidR="00AE25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поху</w:t>
      </w:r>
      <w:r w:rsidR="0072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цифровых технологий</w:t>
      </w:r>
      <w:r w:rsidR="00540D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и </w:t>
      </w:r>
      <w:r w:rsidR="004E0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дост</w:t>
      </w:r>
      <w:r w:rsidR="00AE25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ичь</w:t>
      </w:r>
      <w:r w:rsidR="004E0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цифрового суверенитета, чтобы Европа могла устанавлива</w:t>
      </w:r>
      <w:r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ть глобальные рамки для </w:t>
      </w:r>
      <w:proofErr w:type="spellStart"/>
      <w:r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цифровизации</w:t>
      </w:r>
      <w:proofErr w:type="spellEnd"/>
      <w:r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новых технологий и данных.</w:t>
      </w:r>
    </w:p>
    <w:p w:rsidR="00143F02" w:rsidRDefault="009A1F91" w:rsidP="001E412F">
      <w:pPr>
        <w:spacing w:after="0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r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ля кино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индустрии</w:t>
      </w:r>
      <w:r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лючевыми членами </w:t>
      </w:r>
      <w:r w:rsidR="00AE25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нового состава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являются: вице-пре</w:t>
      </w:r>
      <w:r w:rsidR="00540D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дседатель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Маргрет</w:t>
      </w:r>
      <w:proofErr w:type="spellEnd"/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Вестагер</w:t>
      </w:r>
      <w:proofErr w:type="spellEnd"/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отвечающая за</w:t>
      </w:r>
      <w:r w:rsidR="00540D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развитие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40D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цифровых технологий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540D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также за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соблюд</w:t>
      </w:r>
      <w:r w:rsidR="00540D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ение</w:t>
      </w:r>
      <w:r w:rsidR="00143F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законов о конкуренции ЕС</w:t>
      </w:r>
      <w:r w:rsidR="00540D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43F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Тьерри </w:t>
      </w:r>
      <w:proofErr w:type="spellStart"/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Бретон</w:t>
      </w:r>
      <w:proofErr w:type="spellEnd"/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возглавля</w:t>
      </w:r>
      <w:r w:rsidR="00143F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ющий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все вопросы внутреннего рынка, включая авторское пра</w:t>
      </w:r>
      <w:r w:rsidR="00143F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</w:t>
      </w:r>
      <w:r w:rsidR="00540D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электронную коммерцию и т. д.</w:t>
      </w:r>
      <w:r w:rsidR="00143F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Мария </w:t>
      </w:r>
      <w:proofErr w:type="spellStart"/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Габриэль</w:t>
      </w:r>
      <w:proofErr w:type="spellEnd"/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отвечающа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 за культуру и образование.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Вся и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нформаци</w:t>
      </w:r>
      <w:r w:rsidR="00D249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 </w:t>
      </w:r>
      <w:r w:rsidR="00D249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новых членах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Еврокомиссии опубликована</w:t>
      </w:r>
      <w:r w:rsidR="00143F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её </w:t>
      </w:r>
      <w:r w:rsidR="00143F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официальном сайте</w:t>
      </w:r>
      <w:r w:rsidR="00650ADE" w:rsidRPr="00650A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43F02" w:rsidRDefault="00143F02" w:rsidP="001E412F">
      <w:pPr>
        <w:spacing w:after="0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44EAF" w:rsidRPr="00143F02" w:rsidRDefault="00143F02" w:rsidP="001E412F">
      <w:pPr>
        <w:spacing w:after="0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2. Единый цифровой рынок: национальная имплементация новых Директив ЕС </w:t>
      </w:r>
    </w:p>
    <w:p w:rsidR="00497392" w:rsidRDefault="00497392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3F02" w:rsidRDefault="00D230CE" w:rsidP="001E412F">
      <w:pPr>
        <w:ind w:left="-142" w:firstLine="426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230CE">
        <w:rPr>
          <w:rFonts w:ascii="Times New Roman" w:hAnsi="Times New Roman" w:cs="Times New Roman"/>
          <w:sz w:val="24"/>
          <w:szCs w:val="24"/>
          <w:u w:val="single"/>
        </w:rPr>
        <w:t>Дирек</w:t>
      </w:r>
      <w:r>
        <w:rPr>
          <w:rFonts w:ascii="Times New Roman" w:hAnsi="Times New Roman" w:cs="Times New Roman"/>
          <w:sz w:val="24"/>
          <w:szCs w:val="24"/>
          <w:u w:val="single"/>
        </w:rPr>
        <w:t>тива (ЕС) 2019/789 Евро</w:t>
      </w:r>
      <w:r w:rsidRPr="00D230CE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D249C5">
        <w:rPr>
          <w:rFonts w:ascii="Times New Roman" w:hAnsi="Times New Roman" w:cs="Times New Roman"/>
          <w:sz w:val="24"/>
          <w:szCs w:val="24"/>
          <w:u w:val="single"/>
        </w:rPr>
        <w:t xml:space="preserve">арламента и Совета от 17 апреля </w:t>
      </w:r>
      <w:r w:rsidRPr="00D230CE">
        <w:rPr>
          <w:rFonts w:ascii="Times New Roman" w:hAnsi="Times New Roman" w:cs="Times New Roman"/>
          <w:sz w:val="24"/>
          <w:szCs w:val="24"/>
          <w:u w:val="single"/>
        </w:rPr>
        <w:t xml:space="preserve">2019 г., устанавливающая правила применения положений авторского права и смежных прав в отношении отдельных </w:t>
      </w:r>
      <w:proofErr w:type="spellStart"/>
      <w:proofErr w:type="gramStart"/>
      <w:r w:rsidRPr="00D230CE">
        <w:rPr>
          <w:rFonts w:ascii="Times New Roman" w:hAnsi="Times New Roman" w:cs="Times New Roman"/>
          <w:sz w:val="24"/>
          <w:szCs w:val="24"/>
          <w:u w:val="single"/>
        </w:rPr>
        <w:t>интернет-трансляций</w:t>
      </w:r>
      <w:proofErr w:type="spellEnd"/>
      <w:proofErr w:type="gramEnd"/>
      <w:r w:rsidRPr="00D230CE">
        <w:rPr>
          <w:rFonts w:ascii="Times New Roman" w:hAnsi="Times New Roman" w:cs="Times New Roman"/>
          <w:sz w:val="24"/>
          <w:szCs w:val="24"/>
          <w:u w:val="single"/>
        </w:rPr>
        <w:t xml:space="preserve"> вещательных компаний и ретрансляций радио- и телепрограмм и дополняющая Директиву Совета 93/83/EEC</w:t>
      </w:r>
      <w:r w:rsidR="003D40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40E9" w:rsidRPr="003D40E9">
        <w:rPr>
          <w:rFonts w:ascii="Times New Roman" w:hAnsi="Times New Roman" w:cs="Times New Roman"/>
          <w:sz w:val="24"/>
          <w:szCs w:val="24"/>
          <w:u w:val="single"/>
        </w:rPr>
        <w:t xml:space="preserve">(TV &amp; </w:t>
      </w:r>
      <w:proofErr w:type="spellStart"/>
      <w:r w:rsidR="003D40E9" w:rsidRPr="003D40E9">
        <w:rPr>
          <w:rFonts w:ascii="Times New Roman" w:hAnsi="Times New Roman" w:cs="Times New Roman"/>
          <w:sz w:val="24"/>
          <w:szCs w:val="24"/>
          <w:u w:val="single"/>
        </w:rPr>
        <w:t>Radio</w:t>
      </w:r>
      <w:proofErr w:type="spellEnd"/>
      <w:r w:rsidR="003D40E9" w:rsidRPr="003D40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D40E9" w:rsidRPr="003D40E9">
        <w:rPr>
          <w:rFonts w:ascii="Times New Roman" w:hAnsi="Times New Roman" w:cs="Times New Roman"/>
          <w:sz w:val="24"/>
          <w:szCs w:val="24"/>
          <w:u w:val="single"/>
        </w:rPr>
        <w:t>Programmes</w:t>
      </w:r>
      <w:proofErr w:type="spellEnd"/>
      <w:r w:rsidR="003D40E9" w:rsidRPr="003D40E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3D40E9" w:rsidRPr="003D40E9">
        <w:rPr>
          <w:rFonts w:ascii="Times New Roman" w:hAnsi="Times New Roman" w:cs="Times New Roman"/>
          <w:sz w:val="24"/>
          <w:szCs w:val="24"/>
          <w:u w:val="single"/>
        </w:rPr>
        <w:t>SatCab</w:t>
      </w:r>
      <w:proofErr w:type="spellEnd"/>
      <w:r w:rsidR="003D40E9" w:rsidRPr="003D40E9">
        <w:rPr>
          <w:rFonts w:ascii="Times New Roman" w:hAnsi="Times New Roman" w:cs="Times New Roman"/>
          <w:sz w:val="24"/>
          <w:szCs w:val="24"/>
          <w:u w:val="single"/>
        </w:rPr>
        <w:t xml:space="preserve"> II) </w:t>
      </w:r>
      <w:proofErr w:type="spellStart"/>
      <w:r w:rsidR="003D40E9" w:rsidRPr="003D40E9">
        <w:rPr>
          <w:rFonts w:ascii="Times New Roman" w:hAnsi="Times New Roman" w:cs="Times New Roman"/>
          <w:sz w:val="24"/>
          <w:szCs w:val="24"/>
          <w:u w:val="single"/>
        </w:rPr>
        <w:t>Directive</w:t>
      </w:r>
      <w:proofErr w:type="spellEnd"/>
      <w:r w:rsidR="003D40E9" w:rsidRPr="003D40E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D230CE" w:rsidRDefault="00143F02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3F02">
        <w:rPr>
          <w:rFonts w:ascii="Times New Roman" w:hAnsi="Times New Roman"/>
          <w:color w:val="000000" w:themeColor="text1"/>
          <w:sz w:val="24"/>
          <w:szCs w:val="24"/>
        </w:rPr>
        <w:t>Напомним, что Директива ЕС о теле</w:t>
      </w:r>
      <w:r w:rsidR="00DD1CC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249C5">
        <w:rPr>
          <w:rFonts w:ascii="Times New Roman" w:hAnsi="Times New Roman"/>
          <w:color w:val="000000" w:themeColor="text1"/>
          <w:sz w:val="24"/>
          <w:szCs w:val="24"/>
        </w:rPr>
        <w:t xml:space="preserve"> и радиопрограммах:</w:t>
      </w:r>
    </w:p>
    <w:p w:rsidR="00D230CE" w:rsidRDefault="00D230CE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43F02" w:rsidRPr="00143F02">
        <w:rPr>
          <w:rFonts w:ascii="Times New Roman" w:hAnsi="Times New Roman"/>
          <w:color w:val="000000" w:themeColor="text1"/>
          <w:sz w:val="24"/>
          <w:szCs w:val="24"/>
        </w:rPr>
        <w:t xml:space="preserve">вводит ограничение </w:t>
      </w:r>
      <w:r w:rsidR="00DD1CCC">
        <w:rPr>
          <w:rFonts w:ascii="Times New Roman" w:hAnsi="Times New Roman"/>
          <w:color w:val="000000" w:themeColor="text1"/>
          <w:sz w:val="24"/>
          <w:szCs w:val="24"/>
        </w:rPr>
        <w:t>территориальности</w:t>
      </w:r>
      <w:r w:rsidR="00143F02" w:rsidRPr="00143F02">
        <w:rPr>
          <w:rFonts w:ascii="Times New Roman" w:hAnsi="Times New Roman"/>
          <w:color w:val="000000" w:themeColor="text1"/>
          <w:sz w:val="24"/>
          <w:szCs w:val="24"/>
        </w:rPr>
        <w:t xml:space="preserve"> авторского права в отношении определенных программ и услуг («новости и текущие </w:t>
      </w:r>
      <w:r w:rsidR="00DD1CCC">
        <w:rPr>
          <w:rFonts w:ascii="Times New Roman" w:hAnsi="Times New Roman"/>
          <w:color w:val="000000" w:themeColor="text1"/>
          <w:sz w:val="24"/>
          <w:szCs w:val="24"/>
        </w:rPr>
        <w:t>события</w:t>
      </w:r>
      <w:r w:rsidR="00143F02" w:rsidRPr="00143F02">
        <w:rPr>
          <w:rFonts w:ascii="Times New Roman" w:hAnsi="Times New Roman"/>
          <w:color w:val="000000" w:themeColor="text1"/>
          <w:sz w:val="24"/>
          <w:szCs w:val="24"/>
        </w:rPr>
        <w:t xml:space="preserve">» и </w:t>
      </w:r>
      <w:r w:rsidR="00DD1CCC">
        <w:rPr>
          <w:rFonts w:ascii="Times New Roman" w:hAnsi="Times New Roman" w:cs="Times New Roman"/>
          <w:color w:val="000000" w:themeColor="text1"/>
          <w:sz w:val="24"/>
          <w:szCs w:val="24"/>
        </w:rPr>
        <w:t>«полностью финансируе</w:t>
      </w:r>
      <w:r w:rsidR="00DD1CCC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D1CCC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DD1CCC" w:rsidRPr="00361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DD1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вещателями </w:t>
      </w:r>
      <w:r w:rsidR="00DD1CCC" w:rsidRPr="00DD1CCC">
        <w:rPr>
          <w:rFonts w:ascii="Times New Roman" w:hAnsi="Times New Roman" w:cs="Times New Roman"/>
          <w:color w:val="000000" w:themeColor="text1"/>
          <w:sz w:val="24"/>
          <w:szCs w:val="24"/>
        </w:rPr>
        <w:t>телевизионные программы</w:t>
      </w:r>
      <w:r w:rsidR="00143F02" w:rsidRPr="00DD1CCC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230CE" w:rsidRPr="00D230CE" w:rsidRDefault="00D230CE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30CE">
        <w:rPr>
          <w:rFonts w:ascii="Times New Roman" w:hAnsi="Times New Roman" w:cs="Times New Roman"/>
          <w:sz w:val="24"/>
          <w:szCs w:val="24"/>
        </w:rPr>
        <w:t>распространяет использование системы обязательного коллективного управления, ранее применявшейся в отношении кабельных ретрансляций, на все виды ретрансляций соответствующих теле- и радиопрограмм</w:t>
      </w:r>
      <w:r w:rsidRPr="00D23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1CCC" w:rsidRPr="00D230CE">
        <w:rPr>
          <w:rFonts w:ascii="Times New Roman" w:hAnsi="Times New Roman" w:cs="Times New Roman"/>
          <w:color w:val="000000" w:themeColor="text1"/>
          <w:sz w:val="24"/>
          <w:szCs w:val="24"/>
        </w:rPr>
        <w:t>(включая ретрансляцию через спутник, IPTV, мобильную связь или Интернет)</w:t>
      </w:r>
      <w:r w:rsidRPr="00D230C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A1F91" w:rsidRDefault="00D230CE" w:rsidP="001E412F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30CE">
        <w:rPr>
          <w:rFonts w:ascii="Times New Roman" w:hAnsi="Times New Roman" w:cs="Times New Roman"/>
          <w:sz w:val="24"/>
          <w:szCs w:val="24"/>
        </w:rPr>
        <w:t>конкретизирует правовые рамки осуществления так называемой трансляции по принципу «прямой передачи», когда вещательные компании предоставляют исключительное право на трансляцию программ дистрибьюторам, отвечающим за их публичное распространение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F02" w:rsidRDefault="00D230CE" w:rsidP="001E412F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0CE">
        <w:rPr>
          <w:rFonts w:ascii="Times New Roman" w:hAnsi="Times New Roman" w:cs="Times New Roman"/>
          <w:sz w:val="24"/>
          <w:szCs w:val="24"/>
        </w:rPr>
        <w:lastRenderedPageBreak/>
        <w:t>У государств-членов</w:t>
      </w:r>
      <w:r w:rsidR="009767A7">
        <w:rPr>
          <w:rFonts w:ascii="Times New Roman" w:hAnsi="Times New Roman" w:cs="Times New Roman"/>
          <w:sz w:val="24"/>
          <w:szCs w:val="24"/>
        </w:rPr>
        <w:t xml:space="preserve"> ЕС</w:t>
      </w:r>
      <w:r w:rsidRPr="00D230CE">
        <w:rPr>
          <w:rFonts w:ascii="Times New Roman" w:hAnsi="Times New Roman" w:cs="Times New Roman"/>
          <w:sz w:val="24"/>
          <w:szCs w:val="24"/>
        </w:rPr>
        <w:t xml:space="preserve"> есть два года, т.е. до 7 июня 2021 г., для отражения положений этой Директивы в своем национальном законодательстве.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0CE" w:rsidRDefault="00D230CE" w:rsidP="001E412F">
      <w:pPr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0CE">
        <w:rPr>
          <w:rFonts w:ascii="Times New Roman" w:hAnsi="Times New Roman" w:cs="Times New Roman"/>
          <w:sz w:val="24"/>
          <w:szCs w:val="24"/>
          <w:u w:val="single"/>
        </w:rPr>
        <w:t xml:space="preserve">Регулирование </w:t>
      </w:r>
      <w:proofErr w:type="spellStart"/>
      <w:r w:rsidRPr="00D230CE">
        <w:rPr>
          <w:rFonts w:ascii="Times New Roman" w:hAnsi="Times New Roman" w:cs="Times New Roman"/>
          <w:sz w:val="24"/>
          <w:szCs w:val="24"/>
          <w:u w:val="single"/>
        </w:rPr>
        <w:t>геоблокировки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49C5">
        <w:rPr>
          <w:rStyle w:val="a8"/>
          <w:rFonts w:ascii="Times New Roman" w:hAnsi="Times New Roman" w:cs="Times New Roman"/>
          <w:b w:val="0"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(</w:t>
      </w:r>
      <w:r w:rsidRPr="00A673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EU </w:t>
      </w:r>
      <w:proofErr w:type="spellStart"/>
      <w:r w:rsidRPr="00A673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Geo-blocking</w:t>
      </w:r>
      <w:proofErr w:type="spellEnd"/>
      <w:r w:rsidRPr="00A673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673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Regulation</w:t>
      </w:r>
      <w:proofErr w:type="spellEnd"/>
      <w:r w:rsidRPr="00A673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</w:t>
      </w:r>
      <w:r w:rsidRPr="00D230CE">
        <w:rPr>
          <w:rFonts w:ascii="Times New Roman" w:hAnsi="Times New Roman" w:cs="Times New Roman"/>
          <w:sz w:val="24"/>
          <w:szCs w:val="24"/>
          <w:u w:val="single"/>
        </w:rPr>
        <w:t>: подготовка к возможному пересмотру в 2020 год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 </w:t>
      </w:r>
    </w:p>
    <w:p w:rsidR="00AF3D84" w:rsidRDefault="00D230CE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r w:rsidRPr="00D230CE">
        <w:rPr>
          <w:rFonts w:ascii="Times New Roman" w:hAnsi="Times New Roman" w:cs="Times New Roman"/>
          <w:color w:val="000000" w:themeColor="text1"/>
          <w:sz w:val="24"/>
          <w:szCs w:val="24"/>
        </w:rPr>
        <w:t>запре</w:t>
      </w:r>
      <w:r w:rsidR="00500E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D230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00E59">
        <w:rPr>
          <w:rStyle w:val="a8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</w:rPr>
        <w:t>необоснованной</w:t>
      </w:r>
      <w:r w:rsidRPr="00D230CE">
        <w:rPr>
          <w:rStyle w:val="a8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</w:rPr>
        <w:t xml:space="preserve"> блокировк</w:t>
      </w:r>
      <w:r w:rsidR="00500E59">
        <w:rPr>
          <w:rStyle w:val="a8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</w:rPr>
        <w:t>и</w:t>
      </w:r>
      <w:r w:rsidRPr="00D230CE">
        <w:rPr>
          <w:rStyle w:val="a8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</w:rPr>
        <w:t xml:space="preserve"> по географическому принципу</w:t>
      </w:r>
      <w:r>
        <w:rPr>
          <w:rStyle w:val="a8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</w:rPr>
        <w:t>, вер</w:t>
      </w:r>
      <w:r w:rsidR="00500E59">
        <w:rPr>
          <w:rStyle w:val="a8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</w:rPr>
        <w:t>оятнее всего, будет пересмотрен</w:t>
      </w:r>
      <w:r>
        <w:rPr>
          <w:rStyle w:val="a8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</w:rPr>
        <w:t xml:space="preserve"> в 2020 году - в настоящее время </w:t>
      </w:r>
      <w:r w:rsidR="00D249C5">
        <w:rPr>
          <w:rFonts w:ascii="Times New Roman" w:hAnsi="Times New Roman" w:cs="Times New Roman"/>
          <w:color w:val="000000" w:themeColor="text1"/>
          <w:sz w:val="24"/>
          <w:szCs w:val="24"/>
        </w:rPr>
        <w:t>кин</w:t>
      </w:r>
      <w:proofErr w:type="gramStart"/>
      <w:r w:rsidR="00D249C5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="00D2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1713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</w:t>
      </w:r>
      <w:r w:rsidR="001713B2" w:rsidRPr="001713B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F3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сервисы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исключены</w:t>
      </w:r>
      <w:r>
        <w:rPr>
          <w:rStyle w:val="a8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</w:rPr>
        <w:t xml:space="preserve"> из</w:t>
      </w:r>
      <w:r w:rsidRPr="00A6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A6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</w:t>
      </w:r>
      <w:r w:rsidR="00AF3D84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запросу Еврокомиссии </w:t>
      </w:r>
      <w:r w:rsidR="001876FE">
        <w:rPr>
          <w:rFonts w:ascii="Times New Roman" w:hAnsi="Times New Roman" w:cs="Times New Roman"/>
          <w:color w:val="000000" w:themeColor="text1"/>
          <w:sz w:val="24"/>
          <w:szCs w:val="24"/>
        </w:rPr>
        <w:t>группой специалистов было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проведено исследование </w:t>
      </w:r>
      <w:r w:rsidRPr="00D23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AF3D84">
        <w:rPr>
          <w:rFonts w:ascii="Times New Roman" w:hAnsi="Times New Roman" w:cs="Times New Roman"/>
          <w:color w:val="000000" w:themeColor="text1"/>
          <w:sz w:val="24"/>
          <w:szCs w:val="24"/>
        </w:rPr>
        <w:t>оценке потенциального влияния распространения</w:t>
      </w:r>
      <w:r w:rsidRPr="00D23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3D84">
        <w:rPr>
          <w:rFonts w:ascii="Times New Roman" w:hAnsi="Times New Roman" w:cs="Times New Roman"/>
          <w:color w:val="000000" w:themeColor="text1"/>
          <w:sz w:val="24"/>
          <w:szCs w:val="24"/>
        </w:rPr>
        <w:t>запрета</w:t>
      </w:r>
      <w:r w:rsidRPr="00D23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30CE">
        <w:rPr>
          <w:rFonts w:ascii="Times New Roman" w:hAnsi="Times New Roman" w:cs="Times New Roman"/>
          <w:color w:val="000000" w:themeColor="text1"/>
          <w:sz w:val="24"/>
          <w:szCs w:val="24"/>
        </w:rPr>
        <w:t>геоблокировки</w:t>
      </w:r>
      <w:proofErr w:type="spellEnd"/>
      <w:r w:rsidRPr="00D23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D249C5">
        <w:rPr>
          <w:rFonts w:ascii="Times New Roman" w:hAnsi="Times New Roman" w:cs="Times New Roman"/>
          <w:color w:val="000000" w:themeColor="text1"/>
          <w:sz w:val="24"/>
          <w:szCs w:val="24"/>
        </w:rPr>
        <w:t>эти</w:t>
      </w:r>
      <w:r w:rsidR="00AF3D84" w:rsidRPr="00AF3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сервисы</w:t>
      </w:r>
      <w:r w:rsidRPr="00AF3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7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Похоже, что по результатам исследования </w:t>
      </w:r>
      <w:r w:rsidR="00A450C1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специалистам не удалось дать</w:t>
      </w:r>
      <w:r w:rsidR="009A1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какие-либо рекомендации</w:t>
      </w:r>
      <w:r w:rsidR="001876FE" w:rsidRPr="00187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поскольку, </w:t>
      </w:r>
      <w:r w:rsidR="003E4C1F">
        <w:rPr>
          <w:rFonts w:ascii="Times New Roman" w:hAnsi="Times New Roman" w:cs="Times New Roman"/>
          <w:color w:val="000000" w:themeColor="text1"/>
          <w:sz w:val="24"/>
          <w:szCs w:val="24"/>
        </w:rPr>
        <w:t>как сообщается</w:t>
      </w:r>
      <w:r w:rsidR="001876FE" w:rsidRPr="00187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</w:t>
      </w:r>
      <w:r w:rsidR="008F2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успешного </w:t>
      </w:r>
      <w:r w:rsidR="001876FE" w:rsidRPr="00187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моделирования воздействия </w:t>
      </w:r>
      <w:r w:rsidR="001876FE">
        <w:rPr>
          <w:rFonts w:ascii="Times New Roman" w:hAnsi="Times New Roman" w:cs="Times New Roman"/>
          <w:color w:val="000000" w:themeColor="text1"/>
          <w:sz w:val="24"/>
          <w:szCs w:val="24"/>
        </w:rPr>
        <w:t>запрета</w:t>
      </w:r>
      <w:r w:rsidR="001876FE" w:rsidRPr="00D23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76FE" w:rsidRPr="00D230CE">
        <w:rPr>
          <w:rFonts w:ascii="Times New Roman" w:hAnsi="Times New Roman" w:cs="Times New Roman"/>
          <w:color w:val="000000" w:themeColor="text1"/>
          <w:sz w:val="24"/>
          <w:szCs w:val="24"/>
        </w:rPr>
        <w:t>геоблокировки</w:t>
      </w:r>
      <w:proofErr w:type="spellEnd"/>
      <w:r w:rsidR="00187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исследуемые сервисы было предоставлено недостаточно данных</w:t>
      </w:r>
      <w:r w:rsidR="001876FE" w:rsidRPr="001876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0E59" w:rsidRDefault="00437B2C" w:rsidP="001E412F">
      <w:pPr>
        <w:ind w:left="-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</w:t>
      </w:r>
      <w:r w:rsidR="00AF3D84" w:rsidRPr="00AF3D84">
        <w:rPr>
          <w:rFonts w:ascii="Times New Roman" w:hAnsi="Times New Roman" w:cs="Times New Roman"/>
          <w:sz w:val="24"/>
          <w:szCs w:val="24"/>
        </w:rPr>
        <w:t xml:space="preserve"> неизвес</w:t>
      </w:r>
      <w:r w:rsidR="00AF3D84">
        <w:rPr>
          <w:rFonts w:ascii="Times New Roman" w:hAnsi="Times New Roman" w:cs="Times New Roman"/>
          <w:sz w:val="24"/>
          <w:szCs w:val="24"/>
        </w:rPr>
        <w:t xml:space="preserve">тно, как </w:t>
      </w:r>
      <w:r>
        <w:rPr>
          <w:rFonts w:ascii="Times New Roman" w:hAnsi="Times New Roman" w:cs="Times New Roman"/>
          <w:sz w:val="24"/>
          <w:szCs w:val="24"/>
        </w:rPr>
        <w:t>далее поведет себя</w:t>
      </w:r>
      <w:r w:rsidR="00AF3D84">
        <w:rPr>
          <w:rFonts w:ascii="Times New Roman" w:hAnsi="Times New Roman" w:cs="Times New Roman"/>
          <w:sz w:val="24"/>
          <w:szCs w:val="24"/>
        </w:rPr>
        <w:t xml:space="preserve"> Евро</w:t>
      </w:r>
      <w:r w:rsidR="00AF3D84" w:rsidRPr="00AF3D84">
        <w:rPr>
          <w:rFonts w:ascii="Times New Roman" w:hAnsi="Times New Roman" w:cs="Times New Roman"/>
          <w:sz w:val="24"/>
          <w:szCs w:val="24"/>
        </w:rPr>
        <w:t xml:space="preserve">комиссия. </w:t>
      </w:r>
      <w:r w:rsidR="005D60A4">
        <w:rPr>
          <w:rFonts w:ascii="Times New Roman" w:hAnsi="Times New Roman" w:cs="Times New Roman"/>
          <w:sz w:val="24"/>
          <w:szCs w:val="24"/>
        </w:rPr>
        <w:t>О</w:t>
      </w:r>
      <w:r w:rsidR="00AF3D84">
        <w:rPr>
          <w:rFonts w:ascii="Times New Roman" w:hAnsi="Times New Roman" w:cs="Times New Roman"/>
          <w:sz w:val="24"/>
          <w:szCs w:val="24"/>
        </w:rPr>
        <w:t xml:space="preserve">бязательного требования </w:t>
      </w:r>
      <w:r>
        <w:rPr>
          <w:rFonts w:ascii="Times New Roman" w:hAnsi="Times New Roman" w:cs="Times New Roman"/>
          <w:sz w:val="24"/>
          <w:szCs w:val="24"/>
        </w:rPr>
        <w:t>о публикации</w:t>
      </w:r>
      <w:r w:rsidR="00AF3D84">
        <w:rPr>
          <w:rFonts w:ascii="Times New Roman" w:hAnsi="Times New Roman" w:cs="Times New Roman"/>
          <w:sz w:val="24"/>
          <w:szCs w:val="24"/>
        </w:rPr>
        <w:t xml:space="preserve"> внешни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F3D84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F3D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60A4">
        <w:rPr>
          <w:rFonts w:ascii="Times New Roman" w:hAnsi="Times New Roman" w:cs="Times New Roman"/>
          <w:sz w:val="24"/>
          <w:szCs w:val="24"/>
        </w:rPr>
        <w:t xml:space="preserve">нет </w:t>
      </w:r>
      <w:r w:rsidR="00AF3D8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ранее </w:t>
      </w:r>
      <w:r w:rsidR="00AF3D84">
        <w:rPr>
          <w:rFonts w:ascii="Times New Roman" w:hAnsi="Times New Roman" w:cs="Times New Roman"/>
          <w:sz w:val="24"/>
          <w:szCs w:val="24"/>
        </w:rPr>
        <w:t xml:space="preserve">комиссия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="00AF3D84">
        <w:rPr>
          <w:rFonts w:ascii="Times New Roman" w:hAnsi="Times New Roman" w:cs="Times New Roman"/>
          <w:sz w:val="24"/>
          <w:szCs w:val="24"/>
        </w:rPr>
        <w:t>предпочитала</w:t>
      </w:r>
      <w:proofErr w:type="gramEnd"/>
      <w:r w:rsidR="00AF3D84">
        <w:rPr>
          <w:rFonts w:ascii="Times New Roman" w:hAnsi="Times New Roman" w:cs="Times New Roman"/>
          <w:sz w:val="24"/>
          <w:szCs w:val="24"/>
        </w:rPr>
        <w:t xml:space="preserve"> не публиковать их, </w:t>
      </w:r>
      <w:r>
        <w:rPr>
          <w:rFonts w:ascii="Times New Roman" w:hAnsi="Times New Roman" w:cs="Times New Roman"/>
          <w:sz w:val="24"/>
          <w:szCs w:val="24"/>
        </w:rPr>
        <w:t>в случае, если</w:t>
      </w:r>
      <w:r w:rsidR="00AF3D84">
        <w:rPr>
          <w:rFonts w:ascii="Times New Roman" w:hAnsi="Times New Roman" w:cs="Times New Roman"/>
          <w:sz w:val="24"/>
          <w:szCs w:val="24"/>
        </w:rPr>
        <w:t xml:space="preserve"> они не поддерживают </w:t>
      </w:r>
      <w:r w:rsidR="00500E59">
        <w:rPr>
          <w:rFonts w:ascii="Times New Roman" w:hAnsi="Times New Roman" w:cs="Times New Roman"/>
          <w:sz w:val="24"/>
          <w:szCs w:val="24"/>
        </w:rPr>
        <w:t xml:space="preserve">политические курсы, </w:t>
      </w:r>
      <w:r w:rsidR="005D60A4">
        <w:rPr>
          <w:rFonts w:ascii="Times New Roman" w:hAnsi="Times New Roman" w:cs="Times New Roman"/>
          <w:sz w:val="24"/>
          <w:szCs w:val="24"/>
        </w:rPr>
        <w:t>желаемые</w:t>
      </w:r>
      <w:r w:rsidR="00500E59">
        <w:rPr>
          <w:rFonts w:ascii="Times New Roman" w:hAnsi="Times New Roman" w:cs="Times New Roman"/>
          <w:sz w:val="24"/>
          <w:szCs w:val="24"/>
        </w:rPr>
        <w:t xml:space="preserve"> с точки зрения комиссии. </w:t>
      </w:r>
    </w:p>
    <w:p w:rsidR="00143F02" w:rsidRDefault="00500E59" w:rsidP="001E412F">
      <w:pPr>
        <w:ind w:left="-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ФИАПФ </w:t>
      </w:r>
      <w:r w:rsidR="00AF3D84" w:rsidRPr="00AF3D84">
        <w:rPr>
          <w:rFonts w:ascii="Times New Roman" w:hAnsi="Times New Roman" w:cs="Times New Roman"/>
          <w:sz w:val="24"/>
          <w:szCs w:val="24"/>
        </w:rPr>
        <w:t xml:space="preserve">продолжает внимательно следить за развитием событий в преддверии публикации </w:t>
      </w:r>
      <w:r w:rsidR="00A450C1">
        <w:rPr>
          <w:rFonts w:ascii="Times New Roman" w:hAnsi="Times New Roman" w:cs="Times New Roman"/>
          <w:sz w:val="24"/>
          <w:szCs w:val="24"/>
        </w:rPr>
        <w:t xml:space="preserve">Еврокомиссией </w:t>
      </w:r>
      <w:r>
        <w:rPr>
          <w:rFonts w:ascii="Times New Roman" w:hAnsi="Times New Roman" w:cs="Times New Roman"/>
          <w:sz w:val="24"/>
          <w:szCs w:val="24"/>
        </w:rPr>
        <w:t xml:space="preserve">собственного </w:t>
      </w:r>
      <w:r w:rsidRPr="00AF3D84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AF3D84" w:rsidRPr="00AF3D84">
        <w:rPr>
          <w:rFonts w:ascii="Times New Roman" w:hAnsi="Times New Roman" w:cs="Times New Roman"/>
          <w:sz w:val="24"/>
          <w:szCs w:val="24"/>
        </w:rPr>
        <w:t xml:space="preserve">в конце марта 2020 года. Если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F3D84" w:rsidRPr="00AF3D84">
        <w:rPr>
          <w:rFonts w:ascii="Times New Roman" w:hAnsi="Times New Roman" w:cs="Times New Roman"/>
          <w:sz w:val="24"/>
          <w:szCs w:val="24"/>
        </w:rPr>
        <w:t xml:space="preserve">омиссия решит </w:t>
      </w:r>
      <w:r>
        <w:rPr>
          <w:rFonts w:ascii="Times New Roman" w:hAnsi="Times New Roman" w:cs="Times New Roman"/>
          <w:sz w:val="24"/>
          <w:szCs w:val="24"/>
        </w:rPr>
        <w:t>поднять вопрос</w:t>
      </w:r>
      <w:r w:rsidR="00AF3D84" w:rsidRPr="00AF3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F3D84" w:rsidRPr="00AF3D84">
        <w:rPr>
          <w:rFonts w:ascii="Times New Roman" w:hAnsi="Times New Roman" w:cs="Times New Roman"/>
          <w:sz w:val="24"/>
          <w:szCs w:val="24"/>
        </w:rPr>
        <w:t>пересмотр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F3D84" w:rsidRPr="00AF3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геоблокировки</w:t>
      </w:r>
      <w:proofErr w:type="spellEnd"/>
      <w:r w:rsidR="00AF3D84" w:rsidRPr="00AF3D84">
        <w:rPr>
          <w:rFonts w:ascii="Times New Roman" w:hAnsi="Times New Roman" w:cs="Times New Roman"/>
          <w:sz w:val="24"/>
          <w:szCs w:val="24"/>
        </w:rPr>
        <w:t>, законодательное предложение последует позже в 2020 году.</w:t>
      </w:r>
      <w:r w:rsidR="008F2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80" w:rsidRPr="009D18D7" w:rsidRDefault="008F2280" w:rsidP="001E412F">
      <w:pPr>
        <w:ind w:left="-142"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ФИАПФ совместно с партнерами и</w:t>
      </w:r>
      <w:r w:rsidRPr="008F2280">
        <w:rPr>
          <w:rFonts w:ascii="Times New Roman" w:hAnsi="Times New Roman" w:cs="Times New Roman"/>
          <w:sz w:val="24"/>
          <w:szCs w:val="24"/>
        </w:rPr>
        <w:t xml:space="preserve"> </w:t>
      </w:r>
      <w:r w:rsidR="00A450C1">
        <w:rPr>
          <w:rFonts w:ascii="Times New Roman" w:hAnsi="Times New Roman" w:cs="Times New Roman"/>
          <w:sz w:val="24"/>
          <w:szCs w:val="24"/>
        </w:rPr>
        <w:t>группой специалистов</w:t>
      </w:r>
      <w:r w:rsidRPr="008F2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Pr="008F2280">
        <w:rPr>
          <w:rFonts w:ascii="Times New Roman" w:hAnsi="Times New Roman" w:cs="Times New Roman"/>
          <w:sz w:val="24"/>
          <w:szCs w:val="24"/>
        </w:rPr>
        <w:t xml:space="preserve">над обновлением </w:t>
      </w:r>
      <w:r w:rsidR="00A450C1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>
        <w:rPr>
          <w:rFonts w:ascii="Times New Roman" w:hAnsi="Times New Roman" w:cs="Times New Roman"/>
          <w:sz w:val="24"/>
          <w:szCs w:val="24"/>
        </w:rPr>
        <w:t>2016 год</w:t>
      </w:r>
      <w:r w:rsidR="00A450C1">
        <w:rPr>
          <w:rFonts w:ascii="Times New Roman" w:hAnsi="Times New Roman" w:cs="Times New Roman"/>
          <w:sz w:val="24"/>
          <w:szCs w:val="24"/>
        </w:rPr>
        <w:t>а</w:t>
      </w:r>
      <w:r w:rsidRPr="008F2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1422AA">
        <w:rPr>
          <w:rFonts w:ascii="Times New Roman" w:hAnsi="Times New Roman" w:cs="Times New Roman"/>
          <w:sz w:val="24"/>
          <w:szCs w:val="24"/>
        </w:rPr>
        <w:t>последствиях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280">
        <w:rPr>
          <w:rFonts w:ascii="Times New Roman" w:hAnsi="Times New Roman" w:cs="Times New Roman"/>
          <w:sz w:val="24"/>
          <w:szCs w:val="24"/>
        </w:rPr>
        <w:t xml:space="preserve">трансграничного доступа к </w:t>
      </w:r>
      <w:r w:rsidR="001713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</w:t>
      </w:r>
      <w:r w:rsidR="001713B2" w:rsidRPr="001713B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8F2280">
        <w:rPr>
          <w:rFonts w:ascii="Times New Roman" w:hAnsi="Times New Roman" w:cs="Times New Roman"/>
          <w:sz w:val="24"/>
          <w:szCs w:val="24"/>
        </w:rPr>
        <w:t>контен</w:t>
      </w:r>
      <w:r w:rsidR="001422AA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="001422AA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европейских потребителей</w:t>
      </w:r>
      <w:r w:rsidR="00A450C1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1422AA">
        <w:rPr>
          <w:rFonts w:ascii="Times New Roman" w:hAnsi="Times New Roman" w:cs="Times New Roman"/>
          <w:sz w:val="24"/>
          <w:szCs w:val="24"/>
        </w:rPr>
        <w:t>формировани</w:t>
      </w:r>
      <w:r w:rsidR="00A450C1">
        <w:rPr>
          <w:rFonts w:ascii="Times New Roman" w:hAnsi="Times New Roman" w:cs="Times New Roman"/>
          <w:sz w:val="24"/>
          <w:szCs w:val="24"/>
        </w:rPr>
        <w:t>я</w:t>
      </w:r>
      <w:r w:rsidR="001422AA">
        <w:rPr>
          <w:rFonts w:ascii="Times New Roman" w:hAnsi="Times New Roman" w:cs="Times New Roman"/>
          <w:sz w:val="24"/>
          <w:szCs w:val="24"/>
        </w:rPr>
        <w:t xml:space="preserve"> </w:t>
      </w:r>
      <w:r w:rsidR="001422AA" w:rsidRPr="001422AA">
        <w:rPr>
          <w:rFonts w:ascii="Times New Roman" w:hAnsi="Times New Roman" w:cs="Times New Roman"/>
          <w:sz w:val="24"/>
          <w:szCs w:val="24"/>
        </w:rPr>
        <w:t xml:space="preserve">предложений о </w:t>
      </w:r>
      <w:r w:rsidR="001422AA">
        <w:rPr>
          <w:rFonts w:ascii="Times New Roman" w:hAnsi="Times New Roman" w:cs="Times New Roman"/>
          <w:sz w:val="24"/>
          <w:szCs w:val="24"/>
        </w:rPr>
        <w:t>запрете</w:t>
      </w:r>
      <w:r w:rsidR="001422AA" w:rsidRPr="0014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2AA" w:rsidRPr="001422AA">
        <w:rPr>
          <w:rFonts w:ascii="Times New Roman" w:hAnsi="Times New Roman" w:cs="Times New Roman"/>
          <w:sz w:val="24"/>
          <w:szCs w:val="24"/>
        </w:rPr>
        <w:t>геоблокировк</w:t>
      </w:r>
      <w:r w:rsidR="001422A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422AA">
        <w:rPr>
          <w:rFonts w:ascii="Times New Roman" w:hAnsi="Times New Roman" w:cs="Times New Roman"/>
          <w:sz w:val="24"/>
          <w:szCs w:val="24"/>
        </w:rPr>
        <w:t xml:space="preserve"> в случаях, когда</w:t>
      </w:r>
      <w:r w:rsidR="001422AA" w:rsidRPr="001422AA">
        <w:rPr>
          <w:rFonts w:ascii="Times New Roman" w:hAnsi="Times New Roman" w:cs="Times New Roman"/>
          <w:sz w:val="24"/>
          <w:szCs w:val="24"/>
        </w:rPr>
        <w:t xml:space="preserve"> субъекты обладают необходимыми правами для </w:t>
      </w:r>
      <w:r w:rsidR="001422AA">
        <w:rPr>
          <w:rFonts w:ascii="Times New Roman" w:hAnsi="Times New Roman" w:cs="Times New Roman"/>
          <w:sz w:val="24"/>
          <w:szCs w:val="24"/>
        </w:rPr>
        <w:t>части/всей</w:t>
      </w:r>
      <w:r w:rsidR="001422AA" w:rsidRPr="001422AA">
        <w:rPr>
          <w:rFonts w:ascii="Times New Roman" w:hAnsi="Times New Roman" w:cs="Times New Roman"/>
          <w:sz w:val="24"/>
          <w:szCs w:val="24"/>
        </w:rPr>
        <w:t xml:space="preserve"> территорий ЕС</w:t>
      </w:r>
      <w:r w:rsidR="00A450C1">
        <w:rPr>
          <w:rFonts w:ascii="Times New Roman" w:hAnsi="Times New Roman" w:cs="Times New Roman"/>
          <w:sz w:val="24"/>
          <w:szCs w:val="24"/>
        </w:rPr>
        <w:t>.</w:t>
      </w:r>
    </w:p>
    <w:p w:rsidR="001422AA" w:rsidRDefault="001422AA" w:rsidP="001E412F">
      <w:pPr>
        <w:ind w:left="-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4B4" w:rsidRPr="00F47203" w:rsidRDefault="00F47203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Директива (ЕС) N 2019/790 об авторском праве и смежных правах на едином цифровом рынке </w:t>
      </w:r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</w:t>
      </w:r>
      <w:proofErr w:type="spellStart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Directive</w:t>
      </w:r>
      <w:proofErr w:type="spellEnd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on</w:t>
      </w:r>
      <w:proofErr w:type="spellEnd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Copyright</w:t>
      </w:r>
      <w:proofErr w:type="spellEnd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in</w:t>
      </w:r>
      <w:proofErr w:type="spellEnd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the</w:t>
      </w:r>
      <w:proofErr w:type="spellEnd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Digital</w:t>
      </w:r>
      <w:proofErr w:type="spellEnd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Single</w:t>
      </w:r>
      <w:proofErr w:type="spellEnd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Market</w:t>
      </w:r>
      <w:proofErr w:type="spellEnd"/>
      <w:r w:rsidR="00B54B37" w:rsidRPr="00F4720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:rsidR="009D18D7" w:rsidRPr="00F47203" w:rsidRDefault="00F47203" w:rsidP="001E412F">
      <w:pPr>
        <w:pStyle w:val="3"/>
        <w:spacing w:before="150" w:after="150"/>
        <w:ind w:left="-142" w:firstLine="426"/>
        <w:contextualSpacing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4720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Директива ЕС об авторском праве на едином цифровом рынке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была одобрена Европ</w:t>
      </w:r>
      <w:r w:rsidR="009D18D7" w:rsidRPr="00F4720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арламентом 17 апреля 2019 г. и вступила в силу 7 июня 2019 г.</w:t>
      </w:r>
      <w:r w:rsidR="009D18D7" w:rsidRPr="00F47203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="009D18D7" w:rsidRPr="00F4720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9D18D7" w:rsidRPr="003D40E9" w:rsidRDefault="004234B4" w:rsidP="001E412F">
      <w:pPr>
        <w:pStyle w:val="3"/>
        <w:spacing w:before="150" w:after="150"/>
        <w:ind w:left="-142" w:firstLine="426"/>
        <w:contextualSpacing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234B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Напомним, что Директива предусматривает расширение перечня обязательных ограничений и исключений, </w:t>
      </w:r>
      <w:r w:rsidR="009D18D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введение </w:t>
      </w:r>
      <w:r w:rsidRPr="004234B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</w:t>
      </w:r>
      <w:r w:rsidR="009D18D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овых правил</w:t>
      </w:r>
      <w:r w:rsidRPr="004234B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отношении произведений, вышедших </w:t>
      </w:r>
      <w:r w:rsidRPr="003D40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из оборота, расширенное коллективное лицензирование, </w:t>
      </w:r>
      <w:r w:rsidR="00975A9D" w:rsidRPr="003D40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справедливое вознаграждение авторов и исполнителей</w:t>
      </w:r>
      <w:r w:rsidR="00975A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а также </w:t>
      </w:r>
      <w:r w:rsidRPr="003D40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специальное регулирование</w:t>
      </w:r>
      <w:r w:rsidR="009D18D7" w:rsidRPr="003D40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для отдельных категорий </w:t>
      </w:r>
      <w:proofErr w:type="spellStart"/>
      <w:r w:rsidR="009D18D7" w:rsidRPr="003D40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онлайн-</w:t>
      </w:r>
      <w:r w:rsidR="00975A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платформ</w:t>
      </w:r>
      <w:proofErr w:type="spellEnd"/>
      <w:r w:rsidR="009D18D7" w:rsidRPr="003D40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575C23" w:rsidRDefault="004234B4" w:rsidP="00575C23">
      <w:pPr>
        <w:pStyle w:val="3"/>
        <w:spacing w:before="150" w:after="150"/>
        <w:ind w:left="-142" w:firstLine="426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0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Положения Директивы должны быть имплементированы в национальное законодательство государств-членов ЕС до 7 июня 2021 г.</w:t>
      </w:r>
      <w:r w:rsidRPr="003D40E9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="00575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3492" w:rsidRPr="004A3492" w:rsidRDefault="004A3492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сложность и неоднозначность многих положений ст. 17 Директивы, а также необходимость согласования зачастую противоречащих друг другу интересов провайдеров </w:t>
      </w:r>
      <w:proofErr w:type="spellStart"/>
      <w:r w:rsidRPr="004A3492">
        <w:rPr>
          <w:rFonts w:ascii="Times New Roman" w:hAnsi="Times New Roman" w:cs="Times New Roman"/>
          <w:color w:val="000000" w:themeColor="text1"/>
          <w:sz w:val="24"/>
          <w:szCs w:val="24"/>
        </w:rPr>
        <w:t>онлайн-сервисов</w:t>
      </w:r>
      <w:proofErr w:type="spellEnd"/>
      <w:r w:rsidRPr="004A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обмена </w:t>
      </w:r>
      <w:proofErr w:type="spellStart"/>
      <w:r w:rsidR="008A53B4">
        <w:rPr>
          <w:rFonts w:ascii="Times New Roman" w:hAnsi="Times New Roman" w:cs="Times New Roman"/>
          <w:color w:val="000000" w:themeColor="text1"/>
          <w:sz w:val="24"/>
          <w:szCs w:val="24"/>
        </w:rPr>
        <w:t>контентом</w:t>
      </w:r>
      <w:proofErr w:type="spellEnd"/>
      <w:r w:rsidRPr="004A3492">
        <w:rPr>
          <w:rFonts w:ascii="Times New Roman" w:hAnsi="Times New Roman" w:cs="Times New Roman"/>
          <w:color w:val="000000" w:themeColor="text1"/>
          <w:sz w:val="24"/>
          <w:szCs w:val="24"/>
        </w:rPr>
        <w:t>, правообладателей и пользователей, Еврокомиссия в сотрудничестве с государствами-членами ЕС организовала</w:t>
      </w:r>
      <w:r w:rsidR="00575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совещания, на котор</w:t>
      </w:r>
      <w:r w:rsidR="00A10CF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575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присутствовали </w:t>
      </w:r>
      <w:r w:rsidR="00A10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575C23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 заинтересованных сторон</w:t>
      </w:r>
      <w:r w:rsidRPr="004A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разработки </w:t>
      </w:r>
      <w:r w:rsidR="00171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инструкции </w:t>
      </w:r>
      <w:r w:rsidRPr="004A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применению данной статьи. </w:t>
      </w:r>
    </w:p>
    <w:p w:rsidR="00247F6A" w:rsidRDefault="004A3492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2019 году прошло 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четыре совещания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 ходе которых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рассмотрены различные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лицензирования в раз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ных</w:t>
      </w:r>
      <w:r w:rsidR="006B4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областях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авторского права, а также технологи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>и, доступные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применяемые 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для предотвращения копировани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я, загрузки и обмена </w:t>
      </w:r>
      <w:proofErr w:type="spellStart"/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>контентом</w:t>
      </w:r>
      <w:proofErr w:type="spellEnd"/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без разрешения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правообладателей. В частности, представители производителей 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</w:t>
      </w:r>
      <w:r w:rsidR="0055564C" w:rsidRPr="0055564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подчеркнули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</w:t>
      </w:r>
      <w:r w:rsidR="0055564C" w:rsidRPr="0055564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>индустрия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работает через лицензирование исключительных прав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напрямую с производителями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 не через 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коллективное управление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Обязательное лицензирование фильмов и 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иного 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</w:t>
      </w:r>
      <w:r w:rsidR="0055564C" w:rsidRPr="0055564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незаконно загружаемого пользователями на </w:t>
      </w:r>
      <w:proofErr w:type="spellStart"/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онлайн-сервисах</w:t>
      </w:r>
      <w:proofErr w:type="spellEnd"/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, поставит под угрозу коммерческую жизнеспособнос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всех каналов </w:t>
      </w:r>
      <w:proofErr w:type="spellStart"/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B4FE0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>флайн</w:t>
      </w:r>
      <w:proofErr w:type="spellEnd"/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распространения </w:t>
      </w:r>
      <w:r w:rsidR="00555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такого </w:t>
      </w:r>
      <w:proofErr w:type="spellStart"/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D6CA6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это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противоречи</w:t>
      </w:r>
      <w:r w:rsidR="00FD6CA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«договорной свободе» правообладателей</w:t>
      </w:r>
      <w:r w:rsidR="00FD6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выбирать, кому выдавать лицензию, а кому - нет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699C" w:rsidRDefault="00FD6CA6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ыступления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</w:t>
      </w:r>
      <w:proofErr w:type="spellStart"/>
      <w:r w:rsidR="008A53B4" w:rsidRPr="004A3492">
        <w:rPr>
          <w:rFonts w:ascii="Times New Roman" w:hAnsi="Times New Roman" w:cs="Times New Roman"/>
          <w:color w:val="000000" w:themeColor="text1"/>
          <w:sz w:val="24"/>
          <w:szCs w:val="24"/>
        </w:rPr>
        <w:t>онлайн-сервисов</w:t>
      </w:r>
      <w:proofErr w:type="spellEnd"/>
      <w:r w:rsidR="008A53B4" w:rsidRPr="004A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обмена </w:t>
      </w:r>
      <w:proofErr w:type="spellStart"/>
      <w:r w:rsidR="008A53B4">
        <w:rPr>
          <w:rFonts w:ascii="Times New Roman" w:hAnsi="Times New Roman" w:cs="Times New Roman"/>
          <w:color w:val="000000" w:themeColor="text1"/>
          <w:sz w:val="24"/>
          <w:szCs w:val="24"/>
        </w:rPr>
        <w:t>контентом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технологий распознавания </w:t>
      </w:r>
      <w:proofErr w:type="spellStart"/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B4FE0">
        <w:rPr>
          <w:rFonts w:ascii="Times New Roman" w:hAnsi="Times New Roman" w:cs="Times New Roman"/>
          <w:color w:val="000000" w:themeColor="text1"/>
          <w:sz w:val="24"/>
          <w:szCs w:val="24"/>
        </w:rPr>
        <w:t>онтента</w:t>
      </w:r>
      <w:proofErr w:type="spellEnd"/>
      <w:r w:rsidR="006B4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обобщить в виде следующих выводов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8699C" w:rsidRDefault="0058699C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Различные технологии работают по-разному: идентификаторы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PEX и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Videntifier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 разные </w:t>
      </w:r>
      <w:r w:rsidR="008A53B4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технологические характеристики и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работают по-разному, </w:t>
      </w:r>
      <w:r w:rsidR="008A53B4">
        <w:rPr>
          <w:rFonts w:ascii="Times New Roman" w:hAnsi="Times New Roman" w:cs="Times New Roman"/>
          <w:color w:val="000000" w:themeColor="text1"/>
          <w:sz w:val="24"/>
          <w:szCs w:val="24"/>
        </w:rPr>
        <w:t>имея разные «показатели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успеха» с точки зрения идентификации соответствующего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699C" w:rsidRDefault="0058699C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Технологии распознавания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</w:t>
      </w:r>
      <w:r w:rsidR="008A53B4">
        <w:rPr>
          <w:rFonts w:ascii="Times New Roman" w:hAnsi="Times New Roman" w:cs="Times New Roman"/>
          <w:color w:val="000000" w:themeColor="text1"/>
          <w:sz w:val="24"/>
          <w:szCs w:val="24"/>
        </w:rPr>
        <w:t>тупны на разных ценовых уровнях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A53B4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числе, подходящих</w:t>
      </w:r>
      <w:r w:rsidR="006B4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8A5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старт</w:t>
      </w:r>
      <w:r w:rsidR="008A53B4">
        <w:rPr>
          <w:rFonts w:ascii="Times New Roman" w:hAnsi="Times New Roman" w:cs="Times New Roman"/>
          <w:color w:val="000000" w:themeColor="text1"/>
          <w:sz w:val="24"/>
          <w:szCs w:val="24"/>
        </w:rPr>
        <w:t>ап-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платформ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699C" w:rsidRDefault="0058699C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71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Представители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подтвердил</w:t>
      </w:r>
      <w:r w:rsidR="001713B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, что на самом деле не заинтересован</w:t>
      </w:r>
      <w:r w:rsidR="001713B2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лицензировании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71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основой </w:t>
      </w:r>
      <w:proofErr w:type="spellStart"/>
      <w:proofErr w:type="gram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бизнес-модели</w:t>
      </w:r>
      <w:proofErr w:type="spellEnd"/>
      <w:proofErr w:type="gram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1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платформы 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продвижение создателей </w:t>
      </w:r>
      <w:proofErr w:type="spellStart"/>
      <w:r w:rsidR="008A53B4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r w:rsidR="008A53B4">
        <w:rPr>
          <w:rFonts w:ascii="Times New Roman" w:hAnsi="Times New Roman" w:cs="Times New Roman"/>
          <w:color w:val="000000" w:themeColor="text1"/>
          <w:sz w:val="24"/>
          <w:szCs w:val="24"/>
        </w:rPr>
        <w:t>-контента</w:t>
      </w:r>
      <w:proofErr w:type="spellEnd"/>
      <w:r w:rsidR="00A242DE">
        <w:rPr>
          <w:rFonts w:ascii="Times New Roman" w:hAnsi="Times New Roman" w:cs="Times New Roman"/>
          <w:color w:val="000000" w:themeColor="text1"/>
          <w:sz w:val="24"/>
          <w:szCs w:val="24"/>
        </w:rPr>
        <w:t>, а не профессионалов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объяснили, что доля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платформе</w:t>
      </w:r>
      <w:r w:rsidR="00A24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распределена таким образом: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50% </w:t>
      </w:r>
      <w:proofErr w:type="spellStart"/>
      <w:r w:rsidR="00A242DE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r w:rsidR="00A242D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2D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50% профессионального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защищенного авторским правом, для которого </w:t>
      </w:r>
      <w:r w:rsidR="001713B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лицензирование и защита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2DE">
        <w:rPr>
          <w:rFonts w:ascii="Times New Roman" w:hAnsi="Times New Roman" w:cs="Times New Roman"/>
          <w:color w:val="000000" w:themeColor="text1"/>
          <w:sz w:val="24"/>
          <w:szCs w:val="24"/>
        </w:rPr>
        <w:t>Однако большой заинтересованности в дальнейшем лицензировании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</w:t>
      </w:r>
      <w:proofErr w:type="gram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="00A24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A242DE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 w:rsidR="00A24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3604" w:rsidRDefault="00811B33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ФИАПФ отмечает, что данное заявление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схоже со сделанным в 2013 году заявлением</w:t>
      </w:r>
      <w:r w:rsidR="00323604" w:rsidRPr="0032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3604" w:rsidRPr="00323604">
        <w:rPr>
          <w:rFonts w:ascii="Times New Roman" w:hAnsi="Times New Roman" w:cs="Times New Roman"/>
          <w:color w:val="000000" w:themeColor="text1"/>
          <w:sz w:val="24"/>
          <w:szCs w:val="24"/>
        </w:rPr>
        <w:t>Google</w:t>
      </w:r>
      <w:proofErr w:type="spellEnd"/>
      <w:r w:rsidR="00323604">
        <w:rPr>
          <w:rFonts w:ascii="Times New Roman" w:hAnsi="Times New Roman" w:cs="Times New Roman"/>
          <w:color w:val="000000" w:themeColor="text1"/>
          <w:sz w:val="24"/>
          <w:szCs w:val="24"/>
        </w:rPr>
        <w:t>, ко</w:t>
      </w:r>
      <w:r w:rsidR="001A71C3">
        <w:rPr>
          <w:rFonts w:ascii="Times New Roman" w:hAnsi="Times New Roman" w:cs="Times New Roman"/>
          <w:color w:val="000000" w:themeColor="text1"/>
          <w:sz w:val="24"/>
          <w:szCs w:val="24"/>
        </w:rPr>
        <w:t>гда</w:t>
      </w:r>
      <w:r w:rsidR="0032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</w:t>
      </w:r>
      <w:r w:rsidR="00323604" w:rsidRPr="0032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 понять, что </w:t>
      </w:r>
      <w:r w:rsidR="001A7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предпочитает не </w:t>
      </w:r>
      <w:r w:rsidR="00323604" w:rsidRPr="0032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договариваться о лицензионных соглашениях, </w:t>
      </w:r>
      <w:r w:rsidR="001A71C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23604" w:rsidRPr="0032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полагаться на</w:t>
      </w:r>
      <w:r w:rsidR="001A7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добросовестное использование и</w:t>
      </w:r>
      <w:r w:rsidR="00323604" w:rsidRPr="0032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/или широкие исключения из авторского права в отношении любого </w:t>
      </w:r>
      <w:proofErr w:type="spellStart"/>
      <w:r w:rsidR="001A71C3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="00323604" w:rsidRPr="0032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несанкционированно </w:t>
      </w:r>
      <w:r w:rsidR="001A71C3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размещенного на его сервисах</w:t>
      </w:r>
      <w:r w:rsidR="00323604" w:rsidRPr="0032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457B8" w:rsidRDefault="0058699C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Группы пользователей настаивали на том, что технология распознавания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может быть использована при исключениях из авторского права. </w:t>
      </w:r>
      <w:proofErr w:type="gram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утверждали, что современная технология не соответствует требованиям </w:t>
      </w:r>
      <w:r w:rsidR="00073377">
        <w:rPr>
          <w:rFonts w:ascii="Times New Roman" w:hAnsi="Times New Roman" w:cs="Times New Roman"/>
          <w:color w:val="000000" w:themeColor="text1"/>
          <w:sz w:val="24"/>
          <w:szCs w:val="24"/>
        </w:rPr>
        <w:t>п. 7 ст. 17 Директивы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, котор</w:t>
      </w:r>
      <w:r w:rsidR="00073377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предусматривает, что </w:t>
      </w:r>
      <w:r w:rsidR="00073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взаимодействие провайдеров </w:t>
      </w:r>
      <w:proofErr w:type="spellStart"/>
      <w:r w:rsidR="00073377">
        <w:rPr>
          <w:rFonts w:ascii="Times New Roman" w:hAnsi="Times New Roman" w:cs="Times New Roman"/>
          <w:color w:val="000000" w:themeColor="text1"/>
          <w:sz w:val="24"/>
          <w:szCs w:val="24"/>
        </w:rPr>
        <w:t>онлайн-сервисов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правообладател</w:t>
      </w:r>
      <w:r w:rsidR="00073377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должно приводить к предотвращению доступности </w:t>
      </w:r>
      <w:r w:rsidR="00073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произведений 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или других материалов, загружаемых пол</w:t>
      </w:r>
      <w:r w:rsidR="00F457B8">
        <w:rPr>
          <w:rFonts w:ascii="Times New Roman" w:hAnsi="Times New Roman" w:cs="Times New Roman"/>
          <w:color w:val="000000" w:themeColor="text1"/>
          <w:sz w:val="24"/>
          <w:szCs w:val="24"/>
        </w:rPr>
        <w:t>ьзователями, которые не нарушают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авторские и смежные права, в том числе, если такие произведения или другие </w:t>
      </w:r>
      <w:r w:rsidR="00F457B8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охватываются исключением или ограничением.</w:t>
      </w:r>
      <w:proofErr w:type="gram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457B8">
        <w:rPr>
          <w:rFonts w:ascii="Times New Roman" w:hAnsi="Times New Roman" w:cs="Times New Roman"/>
          <w:color w:val="000000" w:themeColor="text1"/>
          <w:sz w:val="24"/>
          <w:szCs w:val="24"/>
        </w:rPr>
        <w:t>Следовательно, по мнению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пользовате</w:t>
      </w:r>
      <w:r w:rsidR="00F457B8">
        <w:rPr>
          <w:rFonts w:ascii="Times New Roman" w:hAnsi="Times New Roman" w:cs="Times New Roman"/>
          <w:color w:val="000000" w:themeColor="text1"/>
          <w:sz w:val="24"/>
          <w:szCs w:val="24"/>
        </w:rPr>
        <w:t>лей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технологии распознавания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позволять управлять только вознаграждением за лицензированный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защищенный авторским правом, и </w:t>
      </w:r>
      <w:r w:rsidR="00F45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играть 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ограниченную роль в блокировании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, то есть только в случае явно</w:t>
      </w:r>
      <w:r w:rsidR="00F457B8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</w:t>
      </w:r>
      <w:r w:rsidR="00F457B8">
        <w:rPr>
          <w:rFonts w:ascii="Times New Roman" w:hAnsi="Times New Roman" w:cs="Times New Roman"/>
          <w:color w:val="000000" w:themeColor="text1"/>
          <w:sz w:val="24"/>
          <w:szCs w:val="24"/>
        </w:rPr>
        <w:t>ения прав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E1743" w:rsidRDefault="00F457B8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мнению ФИАПФ это </w:t>
      </w:r>
      <w:r w:rsidR="00884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</w:t>
      </w:r>
      <w:r w:rsidR="00556980">
        <w:rPr>
          <w:rFonts w:ascii="Times New Roman" w:hAnsi="Times New Roman" w:cs="Times New Roman"/>
          <w:color w:val="000000" w:themeColor="text1"/>
          <w:sz w:val="24"/>
          <w:szCs w:val="24"/>
        </w:rPr>
        <w:t>навредить интересам</w:t>
      </w:r>
      <w:r w:rsidRPr="00F45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правообладателей, которые не хотят </w:t>
      </w:r>
      <w:r w:rsidR="00811B33">
        <w:rPr>
          <w:rFonts w:ascii="Times New Roman" w:hAnsi="Times New Roman" w:cs="Times New Roman"/>
          <w:color w:val="000000" w:themeColor="text1"/>
          <w:sz w:val="24"/>
          <w:szCs w:val="24"/>
        </w:rPr>
        <w:t>вы</w:t>
      </w:r>
      <w:r w:rsidR="006B4FE0">
        <w:rPr>
          <w:rFonts w:ascii="Times New Roman" w:hAnsi="Times New Roman" w:cs="Times New Roman"/>
          <w:color w:val="000000" w:themeColor="text1"/>
          <w:sz w:val="24"/>
          <w:szCs w:val="24"/>
        </w:rPr>
        <w:t>давать лицензии на</w:t>
      </w:r>
      <w:r w:rsidRPr="00F45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копир</w:t>
      </w:r>
      <w:r w:rsidR="00AD5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ование и обмен </w:t>
      </w:r>
      <w:proofErr w:type="spellStart"/>
      <w:r w:rsidR="00AD509D">
        <w:rPr>
          <w:rFonts w:ascii="Times New Roman" w:hAnsi="Times New Roman" w:cs="Times New Roman"/>
          <w:color w:val="000000" w:themeColor="text1"/>
          <w:sz w:val="24"/>
          <w:szCs w:val="24"/>
        </w:rPr>
        <w:t>контентом</w:t>
      </w:r>
      <w:proofErr w:type="spellEnd"/>
      <w:r w:rsidR="00AD5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="00AD509D">
        <w:rPr>
          <w:rFonts w:ascii="Times New Roman" w:hAnsi="Times New Roman" w:cs="Times New Roman"/>
          <w:color w:val="000000" w:themeColor="text1"/>
          <w:sz w:val="24"/>
          <w:szCs w:val="24"/>
        </w:rPr>
        <w:t>онлайн-</w:t>
      </w:r>
      <w:r w:rsidR="00C7717B">
        <w:rPr>
          <w:rFonts w:ascii="Times New Roman" w:hAnsi="Times New Roman" w:cs="Times New Roman"/>
          <w:color w:val="000000" w:themeColor="text1"/>
          <w:sz w:val="24"/>
          <w:szCs w:val="24"/>
        </w:rPr>
        <w:t>сервисах</w:t>
      </w:r>
      <w:proofErr w:type="spellEnd"/>
      <w:r w:rsidRPr="00F45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поскольку такой </w:t>
      </w:r>
      <w:r w:rsidR="00884C6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</w:t>
      </w:r>
      <w:r w:rsidRPr="00F45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ограничит их способность защищать </w:t>
      </w:r>
      <w:proofErr w:type="spellStart"/>
      <w:r w:rsidR="00884C6D">
        <w:rPr>
          <w:rFonts w:ascii="Times New Roman" w:hAnsi="Times New Roman" w:cs="Times New Roman"/>
          <w:color w:val="000000" w:themeColor="text1"/>
          <w:sz w:val="24"/>
          <w:szCs w:val="24"/>
        </w:rPr>
        <w:t>контент</w:t>
      </w:r>
      <w:proofErr w:type="spellEnd"/>
      <w:r w:rsidRPr="00F45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D509D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допуская</w:t>
      </w:r>
      <w:r w:rsidR="00C7717B" w:rsidRPr="00C77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загрузку</w:t>
      </w:r>
      <w:r w:rsidR="00AD5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C7717B" w:rsidRPr="00C77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509D">
        <w:rPr>
          <w:rFonts w:ascii="Times New Roman" w:hAnsi="Times New Roman" w:cs="Times New Roman"/>
          <w:color w:val="000000" w:themeColor="text1"/>
          <w:sz w:val="24"/>
          <w:szCs w:val="24"/>
        </w:rPr>
        <w:t>удаляя</w:t>
      </w:r>
      <w:r w:rsidR="00C7717B" w:rsidRPr="00C77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717B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811B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45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699C" w:rsidRPr="0058699C" w:rsidRDefault="00DE1743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Пользователи также заявили о </w:t>
      </w:r>
      <w:r w:rsidR="00884C6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необходимости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8699C" w:rsidRDefault="0058699C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690A07">
        <w:rPr>
          <w:rFonts w:ascii="Times New Roman" w:hAnsi="Times New Roman" w:cs="Times New Roman"/>
          <w:color w:val="000000" w:themeColor="text1"/>
          <w:sz w:val="24"/>
          <w:szCs w:val="24"/>
        </w:rPr>
        <w:t>более быстрого</w:t>
      </w:r>
      <w:r w:rsidR="00DE1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механизм</w:t>
      </w:r>
      <w:r w:rsidR="00690A0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подачи жалоб и возмещен</w:t>
      </w:r>
      <w:r w:rsidR="00690A07">
        <w:rPr>
          <w:rFonts w:ascii="Times New Roman" w:hAnsi="Times New Roman" w:cs="Times New Roman"/>
          <w:color w:val="000000" w:themeColor="text1"/>
          <w:sz w:val="24"/>
          <w:szCs w:val="24"/>
        </w:rPr>
        <w:t>ия ущерба в согласованные сроки;</w:t>
      </w:r>
    </w:p>
    <w:p w:rsidR="0058699C" w:rsidRPr="0058699C" w:rsidRDefault="00690A07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 качественной оценки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любого спора по поводу </w:t>
      </w:r>
      <w:proofErr w:type="spellStart"/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, предположител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ьно нарушающего авторские права;</w:t>
      </w:r>
    </w:p>
    <w:p w:rsidR="0058699C" w:rsidRDefault="00256D5A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690A07">
        <w:rPr>
          <w:rFonts w:ascii="Times New Roman" w:hAnsi="Times New Roman" w:cs="Times New Roman"/>
          <w:color w:val="000000" w:themeColor="text1"/>
          <w:sz w:val="24"/>
          <w:szCs w:val="24"/>
        </w:rPr>
        <w:t>установки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ороговы</w:t>
      </w:r>
      <w:r w:rsidR="00690A07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690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начений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допустимой длины/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процентного соотношения 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исключений (пример: </w:t>
      </w:r>
      <w:r w:rsidRPr="00256D5A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 должна позволять загружат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контент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короткой длительности/</w:t>
      </w:r>
      <w:r w:rsidRPr="00256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на 100% соответствующий </w:t>
      </w:r>
      <w:r w:rsidR="0079185E">
        <w:rPr>
          <w:rFonts w:ascii="Times New Roman" w:hAnsi="Times New Roman" w:cs="Times New Roman"/>
          <w:color w:val="000000" w:themeColor="text1"/>
          <w:sz w:val="24"/>
          <w:szCs w:val="24"/>
        </w:rPr>
        <w:t>оригинал</w:t>
      </w:r>
      <w:r w:rsidRPr="00256D5A">
        <w:rPr>
          <w:rFonts w:ascii="Times New Roman" w:hAnsi="Times New Roman" w:cs="Times New Roman"/>
          <w:color w:val="000000" w:themeColor="text1"/>
          <w:sz w:val="24"/>
          <w:szCs w:val="24"/>
        </w:rPr>
        <w:t>у, защищенному авторским правом,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1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как такой </w:t>
      </w:r>
      <w:proofErr w:type="spellStart"/>
      <w:r w:rsidR="0079185E">
        <w:rPr>
          <w:rFonts w:ascii="Times New Roman" w:hAnsi="Times New Roman" w:cs="Times New Roman"/>
          <w:color w:val="000000" w:themeColor="text1"/>
          <w:sz w:val="24"/>
          <w:szCs w:val="24"/>
        </w:rPr>
        <w:t>контент</w:t>
      </w:r>
      <w:proofErr w:type="spellEnd"/>
      <w:r w:rsidR="00791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регулироваться исключениями, например, в случае пародии или цитаты</w:t>
      </w:r>
      <w:r w:rsidR="001713B2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690A07" w:rsidRDefault="00690A07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• а также о том, что п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ользователи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считаться виновными в нарушении авторских прав до тех пор, пока их вина не будет доказана: не следует блокировать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тех пор, пока не будет установлено, 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нарушает авторские права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иными словами, любой </w:t>
      </w:r>
      <w:proofErr w:type="spellStart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контент</w:t>
      </w:r>
      <w:proofErr w:type="spellEnd"/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потенциально может быть охвачен исключением, должен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считаться легально размещенным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онлайн-сервисе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 подлежать блокировке</w:t>
      </w:r>
      <w:r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8699C" w:rsidRPr="0058699C" w:rsidRDefault="00690A07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совещаниях, проведенных 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января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8699C" w:rsidRPr="0058699C">
        <w:rPr>
          <w:rFonts w:ascii="Times New Roman" w:hAnsi="Times New Roman" w:cs="Times New Roman"/>
          <w:color w:val="000000" w:themeColor="text1"/>
          <w:sz w:val="24"/>
          <w:szCs w:val="24"/>
        </w:rPr>
        <w:t>10 февраля 2020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будет представлена в следующем отчете.</w:t>
      </w:r>
    </w:p>
    <w:p w:rsidR="00143F02" w:rsidRDefault="00143F02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A07" w:rsidRDefault="00690A07" w:rsidP="004F66F5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90A0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Консультация Еврокомиссии: срок защиты </w:t>
      </w:r>
      <w:r w:rsidR="009E075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прав </w:t>
      </w:r>
      <w:r w:rsidRPr="00690A07">
        <w:rPr>
          <w:rFonts w:ascii="Times New Roman" w:hAnsi="Times New Roman"/>
          <w:color w:val="000000" w:themeColor="text1"/>
          <w:sz w:val="24"/>
          <w:szCs w:val="24"/>
          <w:u w:val="single"/>
        </w:rPr>
        <w:t>AV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Pr="00690A0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производителей и исполнителей </w:t>
      </w:r>
    </w:p>
    <w:p w:rsidR="004F66F5" w:rsidRPr="004F66F5" w:rsidRDefault="004F66F5" w:rsidP="004F66F5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271DD" w:rsidRDefault="00690A07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0A07">
        <w:rPr>
          <w:rFonts w:ascii="Times New Roman" w:hAnsi="Times New Roman"/>
          <w:color w:val="000000" w:themeColor="text1"/>
          <w:sz w:val="24"/>
          <w:szCs w:val="24"/>
        </w:rPr>
        <w:t xml:space="preserve">Напомним, что </w:t>
      </w:r>
      <w:r w:rsidR="00A00CBE">
        <w:rPr>
          <w:rFonts w:ascii="Times New Roman" w:hAnsi="Times New Roman"/>
          <w:color w:val="000000" w:themeColor="text1"/>
          <w:sz w:val="24"/>
          <w:szCs w:val="24"/>
        </w:rPr>
        <w:t>Директива 2011/77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>/EU продл</w:t>
      </w:r>
      <w:r w:rsidR="009E075C">
        <w:rPr>
          <w:rFonts w:ascii="Times New Roman" w:hAnsi="Times New Roman"/>
          <w:color w:val="000000" w:themeColor="text1"/>
          <w:sz w:val="24"/>
          <w:szCs w:val="24"/>
        </w:rPr>
        <w:t>яет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 xml:space="preserve"> срок защиты смежных прав исполнителей и </w:t>
      </w:r>
      <w:r w:rsidR="002F16A3">
        <w:rPr>
          <w:rFonts w:ascii="Times New Roman" w:hAnsi="Times New Roman"/>
          <w:color w:val="000000" w:themeColor="text1"/>
          <w:sz w:val="24"/>
          <w:szCs w:val="24"/>
        </w:rPr>
        <w:t>производителей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 xml:space="preserve"> в музыкальном секторе с 50 до 70 лет при определенных обстоятельствах. Срок защиты смежных прав исполнителей и </w:t>
      </w:r>
      <w:r w:rsidR="00A00CBE">
        <w:rPr>
          <w:rFonts w:ascii="Times New Roman" w:hAnsi="Times New Roman"/>
          <w:color w:val="000000" w:themeColor="text1"/>
          <w:sz w:val="24"/>
          <w:szCs w:val="24"/>
        </w:rPr>
        <w:t>производителей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A00CBE">
        <w:rPr>
          <w:rFonts w:ascii="Times New Roman" w:hAnsi="Times New Roman"/>
          <w:color w:val="000000" w:themeColor="text1"/>
          <w:sz w:val="24"/>
          <w:szCs w:val="24"/>
          <w:lang w:val="en-US"/>
        </w:rPr>
        <w:t>AV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2F16A3">
        <w:rPr>
          <w:rFonts w:ascii="Times New Roman" w:hAnsi="Times New Roman"/>
          <w:color w:val="000000" w:themeColor="text1"/>
          <w:sz w:val="24"/>
          <w:szCs w:val="24"/>
        </w:rPr>
        <w:t xml:space="preserve">секторе </w:t>
      </w:r>
      <w:r w:rsidR="009E075C">
        <w:rPr>
          <w:rFonts w:ascii="Times New Roman" w:hAnsi="Times New Roman"/>
          <w:color w:val="000000" w:themeColor="text1"/>
          <w:sz w:val="24"/>
          <w:szCs w:val="24"/>
        </w:rPr>
        <w:t xml:space="preserve">продлен </w:t>
      </w:r>
      <w:r w:rsidR="002F16A3">
        <w:rPr>
          <w:rFonts w:ascii="Times New Roman" w:hAnsi="Times New Roman"/>
          <w:color w:val="000000" w:themeColor="text1"/>
          <w:sz w:val="24"/>
          <w:szCs w:val="24"/>
        </w:rPr>
        <w:t>не был и в</w:t>
      </w:r>
      <w:r w:rsidR="00A00CBE"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соответствии со ст.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 xml:space="preserve"> 3 (2) Директивы 2011/</w:t>
      </w:r>
      <w:r w:rsidR="00A00CBE">
        <w:rPr>
          <w:rFonts w:ascii="Times New Roman" w:hAnsi="Times New Roman"/>
          <w:color w:val="000000" w:themeColor="text1"/>
          <w:sz w:val="24"/>
          <w:szCs w:val="24"/>
        </w:rPr>
        <w:t>77/EU Еврок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 xml:space="preserve">омиссия </w:t>
      </w:r>
      <w:r w:rsidR="00A00CBE">
        <w:rPr>
          <w:rFonts w:ascii="Times New Roman" w:hAnsi="Times New Roman"/>
          <w:color w:val="000000" w:themeColor="text1"/>
          <w:sz w:val="24"/>
          <w:szCs w:val="24"/>
        </w:rPr>
        <w:t xml:space="preserve">должна </w:t>
      </w:r>
      <w:r w:rsidR="009E075C">
        <w:rPr>
          <w:rFonts w:ascii="Times New Roman" w:hAnsi="Times New Roman"/>
          <w:color w:val="000000" w:themeColor="text1"/>
          <w:sz w:val="24"/>
          <w:szCs w:val="24"/>
        </w:rPr>
        <w:t>была оценить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16A3">
        <w:rPr>
          <w:rFonts w:ascii="Times New Roman" w:hAnsi="Times New Roman"/>
          <w:color w:val="000000" w:themeColor="text1"/>
          <w:sz w:val="24"/>
          <w:szCs w:val="24"/>
        </w:rPr>
        <w:t>необходимост</w:t>
      </w:r>
      <w:r w:rsidR="009E075C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 xml:space="preserve"> продления срока защиты</w:t>
      </w:r>
      <w:r w:rsidR="002F16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71DD">
        <w:rPr>
          <w:rFonts w:ascii="Times New Roman" w:hAnsi="Times New Roman"/>
          <w:color w:val="000000" w:themeColor="text1"/>
          <w:sz w:val="24"/>
          <w:szCs w:val="24"/>
        </w:rPr>
        <w:t>этих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 xml:space="preserve"> прав. </w:t>
      </w:r>
    </w:p>
    <w:p w:rsidR="00690A07" w:rsidRPr="00690A07" w:rsidRDefault="00E271DD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связи с этим, </w:t>
      </w:r>
      <w:r w:rsidR="00A00CBE">
        <w:rPr>
          <w:rFonts w:ascii="Times New Roman" w:hAnsi="Times New Roman"/>
          <w:color w:val="000000" w:themeColor="text1"/>
          <w:sz w:val="24"/>
          <w:szCs w:val="24"/>
        </w:rPr>
        <w:t xml:space="preserve">с 31 июля по 31 декабря 2019 года под руководством </w:t>
      </w:r>
      <w:r w:rsidR="00690A07" w:rsidRPr="00690A07">
        <w:rPr>
          <w:rFonts w:ascii="Times New Roman" w:hAnsi="Times New Roman"/>
          <w:color w:val="000000" w:themeColor="text1"/>
          <w:sz w:val="24"/>
          <w:szCs w:val="24"/>
        </w:rPr>
        <w:t>Евро</w:t>
      </w:r>
      <w:r>
        <w:rPr>
          <w:rFonts w:ascii="Times New Roman" w:hAnsi="Times New Roman"/>
          <w:color w:val="000000" w:themeColor="text1"/>
          <w:sz w:val="24"/>
          <w:szCs w:val="24"/>
        </w:rPr>
        <w:t>комиссии были организованы консультации по вопросу</w:t>
      </w:r>
      <w:r w:rsidR="00690A07" w:rsidRPr="00690A07">
        <w:rPr>
          <w:rFonts w:ascii="Times New Roman" w:hAnsi="Times New Roman"/>
          <w:color w:val="000000" w:themeColor="text1"/>
          <w:sz w:val="24"/>
          <w:szCs w:val="24"/>
        </w:rPr>
        <w:t xml:space="preserve"> реализации смежных прав исполнителей и </w:t>
      </w:r>
      <w:r w:rsidR="00A00CBE">
        <w:rPr>
          <w:rFonts w:ascii="Times New Roman" w:hAnsi="Times New Roman"/>
          <w:color w:val="000000" w:themeColor="text1"/>
          <w:sz w:val="24"/>
          <w:szCs w:val="24"/>
        </w:rPr>
        <w:t xml:space="preserve">производителей </w:t>
      </w:r>
      <w:r w:rsidR="00690A07" w:rsidRPr="00690A07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AV</w:t>
      </w:r>
      <w:r w:rsidRPr="00A00CB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90A07" w:rsidRPr="00690A07">
        <w:rPr>
          <w:rFonts w:ascii="Times New Roman" w:hAnsi="Times New Roman"/>
          <w:color w:val="000000" w:themeColor="text1"/>
          <w:sz w:val="24"/>
          <w:szCs w:val="24"/>
        </w:rPr>
        <w:t>секторе.</w:t>
      </w:r>
      <w:r w:rsidR="00A00C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Этот вопрос актуален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 xml:space="preserve"> для всех </w:t>
      </w:r>
      <w:proofErr w:type="spellStart"/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>бизнес-сегментов</w:t>
      </w:r>
      <w:proofErr w:type="spellEnd"/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0CBE">
        <w:rPr>
          <w:rFonts w:ascii="Times New Roman" w:hAnsi="Times New Roman"/>
          <w:color w:val="000000" w:themeColor="text1"/>
          <w:sz w:val="24"/>
          <w:szCs w:val="24"/>
        </w:rPr>
        <w:t>кин</w:t>
      </w:r>
      <w:proofErr w:type="gramStart"/>
      <w:r w:rsidR="00A00CBE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="00A00CBE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0CBE">
        <w:rPr>
          <w:rFonts w:ascii="Times New Roman" w:hAnsi="Times New Roman"/>
          <w:color w:val="000000" w:themeColor="text1"/>
          <w:sz w:val="24"/>
          <w:szCs w:val="24"/>
          <w:lang w:val="en-US"/>
        </w:rPr>
        <w:t>AV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>сектора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так как с ним связаны потенциальные 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>правовы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 xml:space="preserve"> последствия во всей цепочке от </w:t>
      </w:r>
      <w:r w:rsidR="00A00CBE">
        <w:rPr>
          <w:rFonts w:ascii="Times New Roman" w:hAnsi="Times New Roman"/>
          <w:color w:val="000000" w:themeColor="text1"/>
          <w:sz w:val="24"/>
          <w:szCs w:val="24"/>
        </w:rPr>
        <w:t xml:space="preserve">производства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контента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0CBE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>
        <w:rPr>
          <w:rFonts w:ascii="Times New Roman" w:hAnsi="Times New Roman"/>
          <w:color w:val="000000" w:themeColor="text1"/>
          <w:sz w:val="24"/>
          <w:szCs w:val="24"/>
        </w:rPr>
        <w:t>его распространения</w:t>
      </w:r>
      <w:r w:rsidR="00A00CBE" w:rsidRPr="00A00CBE">
        <w:rPr>
          <w:rFonts w:ascii="Times New Roman" w:hAnsi="Times New Roman"/>
          <w:color w:val="000000" w:themeColor="text1"/>
          <w:sz w:val="24"/>
          <w:szCs w:val="24"/>
        </w:rPr>
        <w:t xml:space="preserve"> на всех носителях и платформах.</w:t>
      </w:r>
      <w:r w:rsidR="00A00C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43F02" w:rsidRPr="005F1196" w:rsidRDefault="00EF01FB" w:rsidP="005F1196">
      <w:pPr>
        <w:ind w:left="-142" w:firstLine="426"/>
        <w:contextualSpacing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С самого начала принятия Директивы 2011/77</w:t>
      </w:r>
      <w:r w:rsidRPr="00A00CBE">
        <w:rPr>
          <w:rFonts w:ascii="Times New Roman" w:hAnsi="Times New Roman"/>
          <w:color w:val="000000" w:themeColor="text1"/>
          <w:sz w:val="24"/>
          <w:szCs w:val="24"/>
        </w:rPr>
        <w:t xml:space="preserve">/EU </w:t>
      </w:r>
      <w:r w:rsidR="00E271DD">
        <w:rPr>
          <w:rFonts w:ascii="Times New Roman" w:hAnsi="Times New Roman"/>
          <w:color w:val="000000" w:themeColor="text1"/>
          <w:sz w:val="24"/>
          <w:szCs w:val="24"/>
        </w:rPr>
        <w:t xml:space="preserve">ФИАПФ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высказывалась против того, чтобы положение о продлении срока защиты </w:t>
      </w:r>
      <w:r w:rsidR="009E075C">
        <w:rPr>
          <w:rFonts w:ascii="Times New Roman" w:hAnsi="Times New Roman"/>
          <w:color w:val="000000" w:themeColor="text1"/>
          <w:sz w:val="24"/>
          <w:szCs w:val="24"/>
        </w:rPr>
        <w:t xml:space="preserve">прав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распространялось также на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AV</w:t>
      </w:r>
      <w:r w:rsidRPr="00A00CBE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сектор</w:t>
      </w:r>
      <w:r w:rsidR="009E075C">
        <w:rPr>
          <w:rFonts w:ascii="Times New Roman" w:hAnsi="Times New Roman"/>
          <w:color w:val="000000" w:themeColor="text1"/>
          <w:sz w:val="24"/>
          <w:szCs w:val="24"/>
        </w:rPr>
        <w:t xml:space="preserve">. Эта позиция ФИАПФ отражена также в отзыве, направленном в Еврокомиссию ходе проведения этих консультаций. </w:t>
      </w:r>
    </w:p>
    <w:p w:rsidR="00143F02" w:rsidRPr="009E075C" w:rsidRDefault="00143F02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4F66F5" w:rsidRDefault="009E075C" w:rsidP="004F66F5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Европейский суд</w:t>
      </w:r>
      <w:r w:rsidRPr="009E075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: </w:t>
      </w:r>
      <w:r w:rsidR="005F119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решение по </w:t>
      </w:r>
      <w:r w:rsidR="008051EC">
        <w:rPr>
          <w:rFonts w:ascii="Times New Roman" w:hAnsi="Times New Roman"/>
          <w:color w:val="000000" w:themeColor="text1"/>
          <w:sz w:val="24"/>
          <w:szCs w:val="24"/>
          <w:u w:val="single"/>
        </w:rPr>
        <w:t>дел</w:t>
      </w:r>
      <w:r w:rsidR="005F1196">
        <w:rPr>
          <w:rFonts w:ascii="Times New Roman" w:hAnsi="Times New Roman"/>
          <w:color w:val="000000" w:themeColor="text1"/>
          <w:sz w:val="24"/>
          <w:szCs w:val="24"/>
          <w:u w:val="single"/>
        </w:rPr>
        <w:t>у</w:t>
      </w:r>
      <w:r w:rsidR="008051E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9E075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Тома </w:t>
      </w:r>
      <w:proofErr w:type="spellStart"/>
      <w:r w:rsidRPr="009E075C">
        <w:rPr>
          <w:rFonts w:ascii="Times New Roman" w:hAnsi="Times New Roman"/>
          <w:color w:val="000000" w:themeColor="text1"/>
          <w:sz w:val="24"/>
          <w:szCs w:val="24"/>
          <w:u w:val="single"/>
        </w:rPr>
        <w:t>К</w:t>
      </w:r>
      <w:r w:rsidR="008051EC">
        <w:rPr>
          <w:rFonts w:ascii="Times New Roman" w:hAnsi="Times New Roman"/>
          <w:color w:val="000000" w:themeColor="text1"/>
          <w:sz w:val="24"/>
          <w:szCs w:val="24"/>
          <w:u w:val="single"/>
        </w:rPr>
        <w:t>э</w:t>
      </w:r>
      <w:r w:rsidRPr="009E075C">
        <w:rPr>
          <w:rFonts w:ascii="Times New Roman" w:hAnsi="Times New Roman"/>
          <w:color w:val="000000" w:themeColor="text1"/>
          <w:sz w:val="24"/>
          <w:szCs w:val="24"/>
          <w:u w:val="single"/>
        </w:rPr>
        <w:t>бинета</w:t>
      </w:r>
      <w:proofErr w:type="spellEnd"/>
      <w:r w:rsidRPr="009E075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8051EC">
        <w:rPr>
          <w:rFonts w:ascii="Times New Roman" w:hAnsi="Times New Roman"/>
          <w:color w:val="000000" w:themeColor="text1"/>
          <w:sz w:val="24"/>
          <w:szCs w:val="24"/>
          <w:u w:val="single"/>
        </w:rPr>
        <w:t>по вопросу исчерпания</w:t>
      </w:r>
      <w:r w:rsidRPr="009E075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прав</w:t>
      </w:r>
    </w:p>
    <w:p w:rsidR="004F66F5" w:rsidRPr="004F66F5" w:rsidRDefault="004F66F5" w:rsidP="004F66F5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143F02" w:rsidRDefault="005F1196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7F5A0F">
        <w:rPr>
          <w:rFonts w:ascii="Times New Roman" w:hAnsi="Times New Roman"/>
          <w:color w:val="000000" w:themeColor="text1"/>
          <w:sz w:val="24"/>
          <w:szCs w:val="24"/>
        </w:rPr>
        <w:t xml:space="preserve">анное дело </w:t>
      </w:r>
      <w:r w:rsidR="001A7C24">
        <w:rPr>
          <w:rFonts w:ascii="Times New Roman" w:hAnsi="Times New Roman"/>
          <w:color w:val="000000" w:themeColor="text1"/>
          <w:sz w:val="24"/>
          <w:szCs w:val="24"/>
        </w:rPr>
        <w:t>следует из запроса</w:t>
      </w:r>
      <w:r w:rsidR="007F5A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51EC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голландского суда </w:t>
      </w:r>
      <w:r w:rsidR="007F5A0F">
        <w:rPr>
          <w:rFonts w:ascii="Times New Roman" w:hAnsi="Times New Roman"/>
          <w:color w:val="000000" w:themeColor="text1"/>
          <w:sz w:val="24"/>
          <w:szCs w:val="24"/>
        </w:rPr>
        <w:t>о вынесении Европейским судом предварительного постановления</w:t>
      </w:r>
      <w:r w:rsidR="008051EC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по вопросу о том, охватывается ли </w:t>
      </w:r>
      <w:r w:rsidR="007F5A0F">
        <w:rPr>
          <w:rFonts w:ascii="Times New Roman" w:hAnsi="Times New Roman"/>
          <w:color w:val="000000" w:themeColor="text1"/>
          <w:sz w:val="24"/>
          <w:szCs w:val="24"/>
        </w:rPr>
        <w:t>предоставление</w:t>
      </w:r>
      <w:r w:rsidR="008051EC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5A0F">
        <w:rPr>
          <w:rFonts w:ascii="Times New Roman" w:hAnsi="Times New Roman"/>
          <w:color w:val="000000" w:themeColor="text1"/>
          <w:sz w:val="24"/>
          <w:szCs w:val="24"/>
        </w:rPr>
        <w:t>доступа к электронным</w:t>
      </w:r>
      <w:r w:rsidR="008051EC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книг</w:t>
      </w:r>
      <w:r w:rsidR="007F5A0F">
        <w:rPr>
          <w:rFonts w:ascii="Times New Roman" w:hAnsi="Times New Roman"/>
          <w:color w:val="000000" w:themeColor="text1"/>
          <w:sz w:val="24"/>
          <w:szCs w:val="24"/>
        </w:rPr>
        <w:t>ам</w:t>
      </w:r>
      <w:r w:rsidR="008051EC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правом на распространение или правом на </w:t>
      </w:r>
      <w:r w:rsidR="007F5A0F">
        <w:rPr>
          <w:rFonts w:ascii="Times New Roman" w:hAnsi="Times New Roman"/>
          <w:color w:val="000000" w:themeColor="text1"/>
          <w:sz w:val="24"/>
          <w:szCs w:val="24"/>
        </w:rPr>
        <w:t>доведение до всеобщего сведения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7F5A0F">
        <w:rPr>
          <w:rFonts w:ascii="Times New Roman" w:hAnsi="Times New Roman"/>
          <w:color w:val="000000" w:themeColor="text1"/>
          <w:sz w:val="24"/>
          <w:szCs w:val="24"/>
        </w:rPr>
        <w:t>первое право</w:t>
      </w:r>
      <w:r w:rsidR="008051EC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подлежит исчерпанию, </w:t>
      </w:r>
      <w:r w:rsidR="007F5A0F">
        <w:rPr>
          <w:rFonts w:ascii="Times New Roman" w:hAnsi="Times New Roman"/>
          <w:color w:val="000000" w:themeColor="text1"/>
          <w:sz w:val="24"/>
          <w:szCs w:val="24"/>
        </w:rPr>
        <w:t>а второе -</w:t>
      </w:r>
      <w:r w:rsidR="008051EC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нет</w:t>
      </w:r>
      <w:r w:rsidR="008051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051EC" w:rsidRDefault="008051EC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Суд постановил, что </w:t>
      </w:r>
      <w:r w:rsidR="007F5A0F">
        <w:rPr>
          <w:rFonts w:ascii="Times New Roman" w:hAnsi="Times New Roman"/>
          <w:color w:val="000000" w:themeColor="text1"/>
          <w:sz w:val="24"/>
          <w:szCs w:val="24"/>
        </w:rPr>
        <w:t>предоставление</w:t>
      </w:r>
      <w:r w:rsidR="007F5A0F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5A0F">
        <w:rPr>
          <w:rFonts w:ascii="Times New Roman" w:hAnsi="Times New Roman"/>
          <w:color w:val="000000" w:themeColor="text1"/>
          <w:sz w:val="24"/>
          <w:szCs w:val="24"/>
        </w:rPr>
        <w:t>доступа к электронным</w:t>
      </w:r>
      <w:r w:rsidR="007F5A0F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книг</w:t>
      </w:r>
      <w:r w:rsidR="007F5A0F">
        <w:rPr>
          <w:rFonts w:ascii="Times New Roman" w:hAnsi="Times New Roman"/>
          <w:color w:val="000000" w:themeColor="text1"/>
          <w:sz w:val="24"/>
          <w:szCs w:val="24"/>
        </w:rPr>
        <w:t>ам</w:t>
      </w:r>
      <w:r w:rsidR="007F5A0F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5A0F">
        <w:rPr>
          <w:rFonts w:ascii="Times New Roman" w:hAnsi="Times New Roman"/>
          <w:color w:val="000000" w:themeColor="text1"/>
          <w:sz w:val="24"/>
          <w:szCs w:val="24"/>
        </w:rPr>
        <w:t xml:space="preserve">в виде </w:t>
      </w:r>
      <w:r w:rsidRPr="008051EC">
        <w:rPr>
          <w:rFonts w:ascii="Times New Roman" w:hAnsi="Times New Roman"/>
          <w:color w:val="000000" w:themeColor="text1"/>
          <w:sz w:val="24"/>
          <w:szCs w:val="24"/>
        </w:rPr>
        <w:t>ссылки</w:t>
      </w:r>
      <w:r w:rsidR="00611881">
        <w:rPr>
          <w:rFonts w:ascii="Times New Roman" w:hAnsi="Times New Roman"/>
          <w:color w:val="000000" w:themeColor="text1"/>
          <w:sz w:val="24"/>
          <w:szCs w:val="24"/>
        </w:rPr>
        <w:t>, допускающей загрузку,</w:t>
      </w:r>
      <w:r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не охватывается </w:t>
      </w:r>
      <w:r w:rsidR="00611881">
        <w:rPr>
          <w:rFonts w:ascii="Times New Roman" w:hAnsi="Times New Roman"/>
          <w:color w:val="000000" w:themeColor="text1"/>
          <w:sz w:val="24"/>
          <w:szCs w:val="24"/>
        </w:rPr>
        <w:t>правом на распространение</w:t>
      </w:r>
      <w:r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, а скорее представляет собой </w:t>
      </w:r>
      <w:r w:rsidR="00611881">
        <w:rPr>
          <w:rFonts w:ascii="Times New Roman" w:hAnsi="Times New Roman"/>
          <w:color w:val="000000" w:themeColor="text1"/>
          <w:sz w:val="24"/>
          <w:szCs w:val="24"/>
        </w:rPr>
        <w:t>доведение до всеобщего сведения, а конкретнее,</w:t>
      </w:r>
      <w:r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1881">
        <w:rPr>
          <w:rFonts w:ascii="Times New Roman" w:hAnsi="Times New Roman"/>
          <w:color w:val="000000" w:themeColor="text1"/>
          <w:sz w:val="24"/>
          <w:szCs w:val="24"/>
        </w:rPr>
        <w:t>предоставление доступа</w:t>
      </w:r>
      <w:r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611881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требованию), которое не подлежит </w:t>
      </w:r>
      <w:r w:rsidR="00611881">
        <w:rPr>
          <w:rFonts w:ascii="Times New Roman" w:hAnsi="Times New Roman"/>
          <w:color w:val="000000" w:themeColor="text1"/>
          <w:sz w:val="24"/>
          <w:szCs w:val="24"/>
        </w:rPr>
        <w:t>исчерпанию</w:t>
      </w:r>
      <w:r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11881">
        <w:rPr>
          <w:rFonts w:ascii="Times New Roman" w:hAnsi="Times New Roman"/>
          <w:color w:val="000000" w:themeColor="text1"/>
          <w:sz w:val="24"/>
          <w:szCs w:val="24"/>
        </w:rPr>
        <w:t>Следовательно</w:t>
      </w:r>
      <w:r w:rsidRPr="008051EC">
        <w:rPr>
          <w:rFonts w:ascii="Times New Roman" w:hAnsi="Times New Roman"/>
          <w:color w:val="000000" w:themeColor="text1"/>
          <w:sz w:val="24"/>
          <w:szCs w:val="24"/>
        </w:rPr>
        <w:t>, электрон</w:t>
      </w:r>
      <w:r w:rsidR="00611881">
        <w:rPr>
          <w:rFonts w:ascii="Times New Roman" w:hAnsi="Times New Roman"/>
          <w:color w:val="000000" w:themeColor="text1"/>
          <w:sz w:val="24"/>
          <w:szCs w:val="24"/>
        </w:rPr>
        <w:t>ные книги не могут передаваться/</w:t>
      </w:r>
      <w:r w:rsidRPr="008051EC">
        <w:rPr>
          <w:rFonts w:ascii="Times New Roman" w:hAnsi="Times New Roman"/>
          <w:color w:val="000000" w:themeColor="text1"/>
          <w:sz w:val="24"/>
          <w:szCs w:val="24"/>
        </w:rPr>
        <w:t>перепродаваться без разрешения правообладателей.</w:t>
      </w:r>
    </w:p>
    <w:p w:rsidR="008051EC" w:rsidRDefault="00611881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Положение, представляющее</w:t>
      </w:r>
      <w:r w:rsidR="008051EC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особый интерес: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 w:rsidR="008051EC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раво на распространение не </w:t>
      </w:r>
      <w:r w:rsidR="008051EC">
        <w:rPr>
          <w:rFonts w:ascii="Times New Roman" w:hAnsi="Times New Roman"/>
          <w:color w:val="000000" w:themeColor="text1"/>
          <w:sz w:val="24"/>
          <w:szCs w:val="24"/>
        </w:rPr>
        <w:t xml:space="preserve">применяется к нематериальным </w:t>
      </w:r>
      <w:r>
        <w:rPr>
          <w:rFonts w:ascii="Times New Roman" w:hAnsi="Times New Roman"/>
          <w:color w:val="000000" w:themeColor="text1"/>
          <w:sz w:val="24"/>
          <w:szCs w:val="24"/>
        </w:rPr>
        <w:t>копиям</w:t>
      </w:r>
      <w:r w:rsidR="003C0577">
        <w:rPr>
          <w:rFonts w:ascii="Times New Roman" w:hAnsi="Times New Roman"/>
          <w:color w:val="000000" w:themeColor="text1"/>
          <w:sz w:val="24"/>
          <w:szCs w:val="24"/>
        </w:rPr>
        <w:t>. В частности, с</w:t>
      </w:r>
      <w:r w:rsidR="008051EC">
        <w:rPr>
          <w:rFonts w:ascii="Times New Roman" w:hAnsi="Times New Roman"/>
          <w:color w:val="000000" w:themeColor="text1"/>
          <w:sz w:val="24"/>
          <w:szCs w:val="24"/>
        </w:rPr>
        <w:t>уд поясняет</w:t>
      </w:r>
      <w:r w:rsidR="008051EC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, что законодатель специально </w:t>
      </w:r>
      <w:r>
        <w:rPr>
          <w:rFonts w:ascii="Times New Roman" w:hAnsi="Times New Roman"/>
          <w:color w:val="000000" w:themeColor="text1"/>
          <w:sz w:val="24"/>
          <w:szCs w:val="24"/>
        </w:rPr>
        <w:t>провел</w:t>
      </w:r>
      <w:r w:rsidR="008051EC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различие между материальными и нематериальными </w:t>
      </w:r>
      <w:r>
        <w:rPr>
          <w:rFonts w:ascii="Times New Roman" w:hAnsi="Times New Roman"/>
          <w:color w:val="000000" w:themeColor="text1"/>
          <w:sz w:val="24"/>
          <w:szCs w:val="24"/>
        </w:rPr>
        <w:t>копиями</w:t>
      </w:r>
      <w:r w:rsidR="008051EC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в Директиве об авторском праве 2001/29.</w:t>
      </w:r>
    </w:p>
    <w:p w:rsidR="008051EC" w:rsidRDefault="008051EC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Таким образом, р</w:t>
      </w:r>
      <w:r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ешение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3C0577">
        <w:rPr>
          <w:rFonts w:ascii="Times New Roman" w:hAnsi="Times New Roman"/>
          <w:color w:val="000000" w:themeColor="text1"/>
          <w:sz w:val="24"/>
          <w:szCs w:val="24"/>
        </w:rPr>
        <w:t>данному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делу </w:t>
      </w:r>
      <w:r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является подтверждением </w:t>
      </w:r>
      <w:r w:rsidR="003C0577">
        <w:rPr>
          <w:rFonts w:ascii="Times New Roman" w:hAnsi="Times New Roman"/>
          <w:color w:val="000000" w:themeColor="text1"/>
          <w:sz w:val="24"/>
          <w:szCs w:val="24"/>
        </w:rPr>
        <w:t>того, что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0577">
        <w:rPr>
          <w:rFonts w:ascii="Times New Roman" w:hAnsi="Times New Roman"/>
          <w:color w:val="000000" w:themeColor="text1"/>
          <w:sz w:val="24"/>
          <w:szCs w:val="24"/>
        </w:rPr>
        <w:t>распространение</w:t>
      </w:r>
      <w:r w:rsidR="007F5A0F">
        <w:rPr>
          <w:rFonts w:ascii="Times New Roman" w:hAnsi="Times New Roman"/>
          <w:color w:val="000000" w:themeColor="text1"/>
          <w:sz w:val="24"/>
          <w:szCs w:val="24"/>
        </w:rPr>
        <w:t xml:space="preserve"> материальных</w:t>
      </w:r>
      <w:r w:rsidR="007F5A0F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копий</w:t>
      </w:r>
      <w:r w:rsidR="003C0577">
        <w:rPr>
          <w:rFonts w:ascii="Times New Roman" w:hAnsi="Times New Roman"/>
          <w:color w:val="000000" w:themeColor="text1"/>
          <w:sz w:val="24"/>
          <w:szCs w:val="24"/>
        </w:rPr>
        <w:t>, доведение</w:t>
      </w:r>
      <w:r w:rsidR="007F5A0F">
        <w:rPr>
          <w:rFonts w:ascii="Times New Roman" w:hAnsi="Times New Roman"/>
          <w:color w:val="000000" w:themeColor="text1"/>
          <w:sz w:val="24"/>
          <w:szCs w:val="24"/>
        </w:rPr>
        <w:t xml:space="preserve"> до всеобщего сведения</w:t>
      </w:r>
      <w:r w:rsidR="007F5A0F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нематериальных копий</w:t>
      </w:r>
      <w:r w:rsidR="003C0577" w:rsidRPr="003C05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0577">
        <w:rPr>
          <w:rFonts w:ascii="Times New Roman" w:hAnsi="Times New Roman"/>
          <w:color w:val="000000" w:themeColor="text1"/>
          <w:sz w:val="24"/>
          <w:szCs w:val="24"/>
        </w:rPr>
        <w:t xml:space="preserve">и, что особо важно, </w:t>
      </w:r>
      <w:r w:rsidR="003C0577" w:rsidRPr="008051EC">
        <w:rPr>
          <w:rFonts w:ascii="Times New Roman" w:hAnsi="Times New Roman"/>
          <w:color w:val="000000" w:themeColor="text1"/>
          <w:sz w:val="24"/>
          <w:szCs w:val="24"/>
        </w:rPr>
        <w:t>деятельно</w:t>
      </w:r>
      <w:r w:rsidR="003C0577">
        <w:rPr>
          <w:rFonts w:ascii="Times New Roman" w:hAnsi="Times New Roman"/>
          <w:color w:val="000000" w:themeColor="text1"/>
          <w:sz w:val="24"/>
          <w:szCs w:val="24"/>
        </w:rPr>
        <w:t xml:space="preserve">сть по </w:t>
      </w:r>
      <w:proofErr w:type="spellStart"/>
      <w:r w:rsidR="003C0577">
        <w:rPr>
          <w:rFonts w:ascii="Times New Roman" w:hAnsi="Times New Roman"/>
          <w:color w:val="000000" w:themeColor="text1"/>
          <w:sz w:val="24"/>
          <w:szCs w:val="24"/>
        </w:rPr>
        <w:t>онлайн</w:t>
      </w:r>
      <w:proofErr w:type="spellEnd"/>
      <w:r w:rsidR="003C0577">
        <w:rPr>
          <w:rFonts w:ascii="Times New Roman" w:hAnsi="Times New Roman"/>
          <w:color w:val="000000" w:themeColor="text1"/>
          <w:sz w:val="24"/>
          <w:szCs w:val="24"/>
        </w:rPr>
        <w:t xml:space="preserve"> распространению </w:t>
      </w:r>
      <w:r w:rsidR="003C0577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кино и </w:t>
      </w:r>
      <w:r w:rsidR="003C0577">
        <w:rPr>
          <w:rFonts w:ascii="Times New Roman" w:hAnsi="Times New Roman"/>
          <w:color w:val="000000" w:themeColor="text1"/>
          <w:sz w:val="24"/>
          <w:szCs w:val="24"/>
        </w:rPr>
        <w:t xml:space="preserve">иных </w:t>
      </w:r>
      <w:r w:rsidR="003C0577">
        <w:rPr>
          <w:rFonts w:ascii="Times New Roman" w:hAnsi="Times New Roman"/>
          <w:color w:val="000000" w:themeColor="text1"/>
          <w:sz w:val="24"/>
          <w:szCs w:val="24"/>
          <w:lang w:val="en-US"/>
        </w:rPr>
        <w:t>AV</w:t>
      </w:r>
      <w:r w:rsidR="003C0577" w:rsidRPr="007F5A0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C0577">
        <w:rPr>
          <w:rFonts w:ascii="Times New Roman" w:hAnsi="Times New Roman"/>
          <w:color w:val="000000" w:themeColor="text1"/>
          <w:sz w:val="24"/>
          <w:szCs w:val="24"/>
        </w:rPr>
        <w:t>объектов,</w:t>
      </w:r>
      <w:r w:rsidR="007F5A0F" w:rsidRPr="008051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0577">
        <w:rPr>
          <w:rFonts w:ascii="Times New Roman" w:hAnsi="Times New Roman"/>
          <w:color w:val="000000" w:themeColor="text1"/>
          <w:sz w:val="24"/>
          <w:szCs w:val="24"/>
        </w:rPr>
        <w:t>регулируются по-разному</w:t>
      </w:r>
      <w:r w:rsidRPr="008051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051EC" w:rsidRDefault="008051EC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0577" w:rsidRDefault="003C0577" w:rsidP="001E412F">
      <w:pPr>
        <w:ind w:left="-142" w:firstLine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5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Дело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Facebook</w:t>
      </w:r>
      <w:proofErr w:type="spellEnd"/>
    </w:p>
    <w:p w:rsidR="003C0577" w:rsidRPr="003C0577" w:rsidRDefault="003C0577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C0577" w:rsidRPr="001A7C24" w:rsidRDefault="003C0577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57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A7C24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постановлении</w:t>
      </w:r>
      <w:r>
        <w:rPr>
          <w:rFonts w:ascii="Times New Roman" w:hAnsi="Times New Roman"/>
          <w:color w:val="000000" w:themeColor="text1"/>
          <w:sz w:val="24"/>
          <w:szCs w:val="24"/>
        </w:rPr>
        <w:t>, вынесенном в октябре 2019 года</w:t>
      </w:r>
      <w:r w:rsidRPr="003C057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Европейский суд </w:t>
      </w:r>
      <w:r w:rsidRPr="003C0577">
        <w:rPr>
          <w:rFonts w:ascii="Times New Roman" w:hAnsi="Times New Roman"/>
          <w:color w:val="000000" w:themeColor="text1"/>
          <w:sz w:val="24"/>
          <w:szCs w:val="24"/>
        </w:rPr>
        <w:t xml:space="preserve">постановил, что законодательство ЕС не запрещает </w:t>
      </w:r>
      <w:proofErr w:type="spellStart"/>
      <w:r w:rsidRPr="003C0577">
        <w:rPr>
          <w:rFonts w:ascii="Times New Roman" w:hAnsi="Times New Roman"/>
          <w:color w:val="000000" w:themeColor="text1"/>
          <w:sz w:val="24"/>
          <w:szCs w:val="24"/>
        </w:rPr>
        <w:t>Facebook</w:t>
      </w:r>
      <w:proofErr w:type="spellEnd"/>
      <w:r w:rsidRPr="003C0577">
        <w:rPr>
          <w:rFonts w:ascii="Times New Roman" w:hAnsi="Times New Roman"/>
          <w:color w:val="000000" w:themeColor="text1"/>
          <w:sz w:val="24"/>
          <w:szCs w:val="24"/>
        </w:rPr>
        <w:t xml:space="preserve"> отслеживать и удалять </w:t>
      </w:r>
      <w:r>
        <w:rPr>
          <w:rFonts w:ascii="Times New Roman" w:hAnsi="Times New Roman"/>
          <w:color w:val="000000" w:themeColor="text1"/>
          <w:sz w:val="24"/>
          <w:szCs w:val="24"/>
        </w:rPr>
        <w:t>по всему миру</w:t>
      </w:r>
      <w:r w:rsidRPr="003C05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0577">
        <w:rPr>
          <w:rFonts w:ascii="Times New Roman" w:hAnsi="Times New Roman"/>
          <w:color w:val="000000" w:themeColor="text1"/>
          <w:sz w:val="24"/>
          <w:szCs w:val="24"/>
        </w:rPr>
        <w:t>контент</w:t>
      </w:r>
      <w:proofErr w:type="spellEnd"/>
      <w:r w:rsidRPr="003C057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признанный</w:t>
      </w:r>
      <w:r w:rsidRPr="003C0577">
        <w:rPr>
          <w:rFonts w:ascii="Times New Roman" w:hAnsi="Times New Roman"/>
          <w:color w:val="000000" w:themeColor="text1"/>
          <w:sz w:val="24"/>
          <w:szCs w:val="24"/>
        </w:rPr>
        <w:t xml:space="preserve"> незаконным в государстве-члене ЕС</w:t>
      </w:r>
      <w:r w:rsidRPr="001A7C24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143F02" w:rsidRDefault="003C0577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577">
        <w:rPr>
          <w:rFonts w:ascii="Times New Roman" w:hAnsi="Times New Roman"/>
          <w:color w:val="000000" w:themeColor="text1"/>
          <w:sz w:val="24"/>
          <w:szCs w:val="24"/>
        </w:rPr>
        <w:t xml:space="preserve">Это </w:t>
      </w:r>
      <w:r w:rsidR="001A7C24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следует </w:t>
      </w:r>
      <w:r w:rsidRPr="003C0577">
        <w:rPr>
          <w:rFonts w:ascii="Times New Roman" w:hAnsi="Times New Roman"/>
          <w:color w:val="000000" w:themeColor="text1"/>
          <w:sz w:val="24"/>
          <w:szCs w:val="24"/>
        </w:rPr>
        <w:t>из запроса</w:t>
      </w:r>
      <w:r w:rsidR="001A7C24">
        <w:rPr>
          <w:rFonts w:ascii="Times New Roman" w:hAnsi="Times New Roman"/>
          <w:color w:val="000000" w:themeColor="text1"/>
          <w:sz w:val="24"/>
          <w:szCs w:val="24"/>
        </w:rPr>
        <w:t xml:space="preserve"> австрийского суда</w:t>
      </w:r>
      <w:r w:rsidRPr="003C0577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r w:rsidR="001A7C24">
        <w:rPr>
          <w:rFonts w:ascii="Times New Roman" w:hAnsi="Times New Roman"/>
          <w:color w:val="000000" w:themeColor="text1"/>
          <w:sz w:val="24"/>
          <w:szCs w:val="24"/>
        </w:rPr>
        <w:t xml:space="preserve">вынесении предварительного постановления </w:t>
      </w:r>
      <w:r w:rsidR="00707E49">
        <w:rPr>
          <w:rFonts w:ascii="Times New Roman" w:hAnsi="Times New Roman"/>
          <w:color w:val="000000" w:themeColor="text1"/>
          <w:sz w:val="24"/>
          <w:szCs w:val="24"/>
        </w:rPr>
        <w:t>относительно толкования ст.</w:t>
      </w:r>
      <w:r w:rsidRPr="003C0577">
        <w:rPr>
          <w:rFonts w:ascii="Times New Roman" w:hAnsi="Times New Roman"/>
          <w:color w:val="000000" w:themeColor="text1"/>
          <w:sz w:val="24"/>
          <w:szCs w:val="24"/>
        </w:rPr>
        <w:t xml:space="preserve"> 15 (1) Директивы ЕС </w:t>
      </w:r>
      <w:r w:rsidR="00707E49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Pr="003C0577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электронной</w:t>
      </w:r>
      <w:r w:rsidR="00707E49">
        <w:rPr>
          <w:rFonts w:ascii="Times New Roman" w:hAnsi="Times New Roman"/>
          <w:color w:val="000000" w:themeColor="text1"/>
          <w:sz w:val="24"/>
          <w:szCs w:val="24"/>
        </w:rPr>
        <w:t xml:space="preserve"> коммерции</w:t>
      </w:r>
      <w:r w:rsidRPr="003C0577">
        <w:rPr>
          <w:rFonts w:ascii="Times New Roman" w:hAnsi="Times New Roman"/>
          <w:color w:val="000000" w:themeColor="text1"/>
          <w:sz w:val="24"/>
          <w:szCs w:val="24"/>
        </w:rPr>
        <w:t xml:space="preserve">, которая запрещает государствам-членам налагать </w:t>
      </w:r>
      <w:r w:rsidR="007B089B">
        <w:rPr>
          <w:rFonts w:ascii="Times New Roman" w:hAnsi="Times New Roman"/>
          <w:color w:val="000000" w:themeColor="text1"/>
          <w:sz w:val="24"/>
          <w:szCs w:val="24"/>
        </w:rPr>
        <w:t xml:space="preserve">на провайдеров </w:t>
      </w:r>
      <w:r w:rsidRPr="003C0577">
        <w:rPr>
          <w:rFonts w:ascii="Times New Roman" w:hAnsi="Times New Roman"/>
          <w:color w:val="000000" w:themeColor="text1"/>
          <w:sz w:val="24"/>
          <w:szCs w:val="24"/>
        </w:rPr>
        <w:t>обязательство</w:t>
      </w:r>
      <w:r w:rsidR="007B089B">
        <w:rPr>
          <w:rFonts w:ascii="Times New Roman" w:hAnsi="Times New Roman"/>
          <w:color w:val="000000" w:themeColor="text1"/>
          <w:sz w:val="24"/>
          <w:szCs w:val="24"/>
        </w:rPr>
        <w:t xml:space="preserve"> по</w:t>
      </w:r>
      <w:r w:rsidRPr="003C05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089B">
        <w:rPr>
          <w:rFonts w:ascii="Times New Roman" w:hAnsi="Times New Roman"/>
          <w:color w:val="000000" w:themeColor="text1"/>
          <w:sz w:val="24"/>
          <w:szCs w:val="24"/>
        </w:rPr>
        <w:t>контролю передаваемой или хранимой ими информации,</w:t>
      </w:r>
      <w:r w:rsidRPr="003C0577">
        <w:rPr>
          <w:rFonts w:ascii="Times New Roman" w:hAnsi="Times New Roman"/>
          <w:color w:val="000000" w:themeColor="text1"/>
          <w:sz w:val="24"/>
          <w:szCs w:val="24"/>
        </w:rPr>
        <w:t xml:space="preserve"> или</w:t>
      </w:r>
      <w:r w:rsidR="007B089B">
        <w:rPr>
          <w:rFonts w:ascii="Times New Roman" w:hAnsi="Times New Roman"/>
          <w:color w:val="000000" w:themeColor="text1"/>
          <w:sz w:val="24"/>
          <w:szCs w:val="24"/>
        </w:rPr>
        <w:t xml:space="preserve"> по поиску фактов</w:t>
      </w:r>
      <w:r w:rsidRPr="003C0577">
        <w:rPr>
          <w:rFonts w:ascii="Times New Roman" w:hAnsi="Times New Roman"/>
          <w:color w:val="000000" w:themeColor="text1"/>
          <w:sz w:val="24"/>
          <w:szCs w:val="24"/>
        </w:rPr>
        <w:t>, указывающи</w:t>
      </w:r>
      <w:r w:rsidR="007B089B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3C0577">
        <w:rPr>
          <w:rFonts w:ascii="Times New Roman" w:hAnsi="Times New Roman"/>
          <w:color w:val="000000" w:themeColor="text1"/>
          <w:sz w:val="24"/>
          <w:szCs w:val="24"/>
        </w:rPr>
        <w:t xml:space="preserve"> на незаконную деятельность.</w:t>
      </w:r>
    </w:p>
    <w:p w:rsidR="007B089B" w:rsidRDefault="007B089B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089B" w:rsidRPr="0008364D" w:rsidRDefault="007B089B" w:rsidP="001E412F">
      <w:pPr>
        <w:spacing w:line="240" w:lineRule="auto"/>
        <w:ind w:left="-142" w:firstLine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B08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0836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Другие события</w:t>
      </w:r>
    </w:p>
    <w:p w:rsidR="007B089B" w:rsidRDefault="007B089B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3F02" w:rsidRDefault="007B089B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B089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Европ</w:t>
      </w:r>
      <w:r w:rsidR="008718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ейская обсерватория по нарушениям</w:t>
      </w:r>
      <w:r w:rsidRPr="007B089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прав интеллектуальной собственности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– </w:t>
      </w:r>
      <w:r w:rsidRPr="007B089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AGORATEKA</w:t>
      </w:r>
      <w:r w:rsidR="001B64A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1B64A6" w:rsidRDefault="001B64A6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7B089B" w:rsidRDefault="001B64A6" w:rsidP="001E412F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Обсерватория </w:t>
      </w:r>
      <w:r w:rsidRPr="001B64A6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 воп</w:t>
      </w:r>
      <w:r w:rsidR="007977BC">
        <w:rPr>
          <w:rFonts w:ascii="Times New Roman" w:hAnsi="Times New Roman" w:cs="Times New Roman"/>
          <w:color w:val="000000" w:themeColor="text1"/>
          <w:sz w:val="24"/>
          <w:szCs w:val="24"/>
        </w:rPr>
        <w:t>рос о разработке новой функции для европейского</w:t>
      </w:r>
      <w:r w:rsidRPr="001B6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портал</w:t>
      </w:r>
      <w:r w:rsidR="007977BC">
        <w:rPr>
          <w:rFonts w:ascii="Times New Roman" w:hAnsi="Times New Roman" w:cs="Times New Roman"/>
          <w:color w:val="000000" w:themeColor="text1"/>
          <w:sz w:val="24"/>
          <w:szCs w:val="24"/>
        </w:rPr>
        <w:t>а поиска</w:t>
      </w:r>
      <w:r w:rsidRPr="001B6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легального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легальных сервисов</w:t>
      </w:r>
      <w:r w:rsidR="00797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AGORATEKA</w:t>
      </w:r>
      <w:r w:rsidRPr="001B64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97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14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Предлагается усовершенствовать портал путем добавления функции поиска по названию, </w:t>
      </w:r>
      <w:r w:rsidR="00556BB4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414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поможет уменьшить </w:t>
      </w:r>
      <w:r w:rsidR="00414157" w:rsidRPr="00414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кликов, необходимых для перехода к </w:t>
      </w:r>
      <w:r w:rsidR="007977BC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необходимому</w:t>
      </w:r>
      <w:r w:rsidR="00414157" w:rsidRPr="00414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14157" w:rsidRPr="00414157">
        <w:rPr>
          <w:rFonts w:ascii="Times New Roman" w:hAnsi="Times New Roman" w:cs="Times New Roman"/>
          <w:color w:val="000000" w:themeColor="text1"/>
          <w:sz w:val="24"/>
          <w:szCs w:val="24"/>
        </w:rPr>
        <w:t>контенту</w:t>
      </w:r>
      <w:proofErr w:type="spellEnd"/>
      <w:r w:rsidR="00414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наличие функции</w:t>
      </w:r>
      <w:r w:rsidR="00414157" w:rsidRPr="00414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414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иска позволит получить </w:t>
      </w:r>
      <w:r w:rsidR="00414157" w:rsidRPr="0041415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</w:t>
      </w:r>
      <w:r w:rsidR="00414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прямо на самом портале</w:t>
      </w:r>
      <w:r w:rsidR="00414157" w:rsidRPr="00414157">
        <w:rPr>
          <w:rFonts w:ascii="Times New Roman" w:hAnsi="Times New Roman" w:cs="Times New Roman"/>
          <w:color w:val="000000" w:themeColor="text1"/>
          <w:sz w:val="24"/>
          <w:szCs w:val="24"/>
        </w:rPr>
        <w:t>, не</w:t>
      </w:r>
      <w:r w:rsidR="00797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проводя поиск на сторонних ресурсах</w:t>
      </w:r>
      <w:r w:rsidR="00414157" w:rsidRPr="004141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B089B" w:rsidRDefault="007B089B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77BC" w:rsidRDefault="00871883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Отчет Европейской обсерватории</w:t>
      </w:r>
      <w:r w:rsidRPr="007B089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по нарушению прав интеллектуальной собственности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977BC" w:rsidRPr="0087188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о нарушении авторских прав в Интернете в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ЕС</w:t>
      </w:r>
    </w:p>
    <w:p w:rsidR="00871883" w:rsidRDefault="00871883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143F02" w:rsidRDefault="00871883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871883">
        <w:rPr>
          <w:rFonts w:ascii="Times New Roman" w:hAnsi="Times New Roman"/>
          <w:color w:val="000000" w:themeColor="text1"/>
          <w:sz w:val="24"/>
          <w:szCs w:val="24"/>
        </w:rPr>
        <w:t xml:space="preserve"> отчете </w:t>
      </w:r>
      <w:r w:rsidR="0088067D">
        <w:rPr>
          <w:rFonts w:ascii="Times New Roman" w:hAnsi="Times New Roman"/>
          <w:color w:val="000000" w:themeColor="text1"/>
          <w:sz w:val="24"/>
          <w:szCs w:val="24"/>
        </w:rPr>
        <w:t xml:space="preserve">проанализировано </w:t>
      </w:r>
      <w:r w:rsidRPr="00871883">
        <w:rPr>
          <w:rFonts w:ascii="Times New Roman" w:hAnsi="Times New Roman"/>
          <w:color w:val="000000" w:themeColor="text1"/>
          <w:sz w:val="24"/>
          <w:szCs w:val="24"/>
        </w:rPr>
        <w:t xml:space="preserve">потребление </w:t>
      </w:r>
      <w:proofErr w:type="spellStart"/>
      <w:r w:rsidRPr="00871883">
        <w:rPr>
          <w:rFonts w:ascii="Times New Roman" w:hAnsi="Times New Roman"/>
          <w:color w:val="000000" w:themeColor="text1"/>
          <w:sz w:val="24"/>
          <w:szCs w:val="24"/>
        </w:rPr>
        <w:t>контента</w:t>
      </w:r>
      <w:proofErr w:type="spellEnd"/>
      <w:r w:rsidRPr="00871883">
        <w:rPr>
          <w:rFonts w:ascii="Times New Roman" w:hAnsi="Times New Roman"/>
          <w:color w:val="000000" w:themeColor="text1"/>
          <w:sz w:val="24"/>
          <w:szCs w:val="24"/>
        </w:rPr>
        <w:t xml:space="preserve">, нарушающего авторские права, в 28 государствах-членах ЕС. </w:t>
      </w:r>
      <w:r w:rsidR="0088067D" w:rsidRPr="0088067D">
        <w:rPr>
          <w:rFonts w:ascii="Times New Roman" w:hAnsi="Times New Roman"/>
          <w:color w:val="000000" w:themeColor="text1"/>
          <w:sz w:val="24"/>
          <w:szCs w:val="24"/>
        </w:rPr>
        <w:t>Анализ основан на данных о доступе к пиратской музыке, фильмам и телевизионным программам во всех 28 государствах-членах за период с января 2017 года по сентябрь 2018 года. Данные охватывают как стационарные, так и мобильные устройства, а также основные методы доступ</w:t>
      </w:r>
      <w:r w:rsidR="00EA5212">
        <w:rPr>
          <w:rFonts w:ascii="Times New Roman" w:hAnsi="Times New Roman"/>
          <w:color w:val="000000" w:themeColor="text1"/>
          <w:sz w:val="24"/>
          <w:szCs w:val="24"/>
        </w:rPr>
        <w:t xml:space="preserve">а: потоковую </w:t>
      </w:r>
      <w:r w:rsidR="0088067D">
        <w:rPr>
          <w:rFonts w:ascii="Times New Roman" w:hAnsi="Times New Roman"/>
          <w:color w:val="000000" w:themeColor="text1"/>
          <w:sz w:val="24"/>
          <w:szCs w:val="24"/>
        </w:rPr>
        <w:t>передач</w:t>
      </w:r>
      <w:r w:rsidR="00EA521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88067D">
        <w:rPr>
          <w:rFonts w:ascii="Times New Roman" w:hAnsi="Times New Roman"/>
          <w:color w:val="000000" w:themeColor="text1"/>
          <w:sz w:val="24"/>
          <w:szCs w:val="24"/>
        </w:rPr>
        <w:t>, загрузки и</w:t>
      </w:r>
      <w:r w:rsidR="0088067D" w:rsidRPr="008806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8067D" w:rsidRPr="0088067D">
        <w:rPr>
          <w:rFonts w:ascii="Times New Roman" w:hAnsi="Times New Roman"/>
          <w:color w:val="000000" w:themeColor="text1"/>
          <w:sz w:val="24"/>
          <w:szCs w:val="24"/>
        </w:rPr>
        <w:t>торренты</w:t>
      </w:r>
      <w:proofErr w:type="spellEnd"/>
      <w:r w:rsidR="0088067D" w:rsidRPr="0088067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067D" w:rsidRDefault="0088067D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67D">
        <w:rPr>
          <w:rFonts w:ascii="Times New Roman" w:hAnsi="Times New Roman"/>
          <w:color w:val="000000" w:themeColor="text1"/>
          <w:sz w:val="24"/>
          <w:szCs w:val="24"/>
        </w:rPr>
        <w:t>В отчете утверждается, что цифровое пиратство сокращается: согласно отчету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8067D">
        <w:rPr>
          <w:rFonts w:ascii="Times New Roman" w:hAnsi="Times New Roman"/>
          <w:color w:val="000000" w:themeColor="text1"/>
          <w:sz w:val="24"/>
          <w:szCs w:val="24"/>
        </w:rPr>
        <w:t>в период с 2017 по 2018 год общий доступ к пиратс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кому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контенту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сократился на 15%</w:t>
      </w:r>
      <w:r w:rsidRPr="0088067D">
        <w:rPr>
          <w:rFonts w:ascii="Times New Roman" w:hAnsi="Times New Roman"/>
          <w:color w:val="000000" w:themeColor="text1"/>
          <w:sz w:val="24"/>
          <w:szCs w:val="24"/>
        </w:rPr>
        <w:t>. Снижен</w:t>
      </w:r>
      <w:r>
        <w:rPr>
          <w:rFonts w:ascii="Times New Roman" w:hAnsi="Times New Roman"/>
          <w:color w:val="000000" w:themeColor="text1"/>
          <w:sz w:val="24"/>
          <w:szCs w:val="24"/>
        </w:rPr>
        <w:t>ие было самым заметным в музыке -</w:t>
      </w:r>
      <w:r w:rsidRPr="0088067D">
        <w:rPr>
          <w:rFonts w:ascii="Times New Roman" w:hAnsi="Times New Roman"/>
          <w:color w:val="000000" w:themeColor="text1"/>
          <w:sz w:val="24"/>
          <w:szCs w:val="24"/>
        </w:rPr>
        <w:t xml:space="preserve"> на 32%, затем следуют кино (19%) и телевидение (8%).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8067D" w:rsidRDefault="0088067D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67D">
        <w:rPr>
          <w:rFonts w:ascii="Times New Roman" w:hAnsi="Times New Roman"/>
          <w:color w:val="000000" w:themeColor="text1"/>
          <w:sz w:val="24"/>
          <w:szCs w:val="24"/>
        </w:rPr>
        <w:t xml:space="preserve">Тем не менее, согласно </w:t>
      </w:r>
      <w:r>
        <w:rPr>
          <w:rFonts w:ascii="Times New Roman" w:hAnsi="Times New Roman"/>
          <w:color w:val="000000" w:themeColor="text1"/>
          <w:sz w:val="24"/>
          <w:szCs w:val="24"/>
        </w:rPr>
        <w:t>отчету</w:t>
      </w:r>
      <w:r w:rsidRPr="0088067D">
        <w:rPr>
          <w:rFonts w:ascii="Times New Roman" w:hAnsi="Times New Roman"/>
          <w:color w:val="000000" w:themeColor="text1"/>
          <w:sz w:val="24"/>
          <w:szCs w:val="24"/>
        </w:rPr>
        <w:t xml:space="preserve">, пиратство остается серьезной проблемой, причем в некоторых государствах больше, чем в других. В </w:t>
      </w:r>
      <w:r>
        <w:rPr>
          <w:rFonts w:ascii="Times New Roman" w:hAnsi="Times New Roman"/>
          <w:color w:val="000000" w:themeColor="text1"/>
          <w:sz w:val="24"/>
          <w:szCs w:val="24"/>
        </w:rPr>
        <w:t>отчете</w:t>
      </w:r>
      <w:r w:rsidRPr="0088067D">
        <w:rPr>
          <w:rFonts w:ascii="Times New Roman" w:hAnsi="Times New Roman"/>
          <w:color w:val="000000" w:themeColor="text1"/>
          <w:sz w:val="24"/>
          <w:szCs w:val="24"/>
        </w:rPr>
        <w:t xml:space="preserve"> делается попытка объяснить </w:t>
      </w:r>
      <w:r w:rsidRPr="0088067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различия между государствами путем анализа ряда социально-экономических, демографических и других факторов, которые могут повлиять на потребление пиратского </w:t>
      </w:r>
      <w:proofErr w:type="spellStart"/>
      <w:r w:rsidRPr="0088067D">
        <w:rPr>
          <w:rFonts w:ascii="Times New Roman" w:hAnsi="Times New Roman"/>
          <w:color w:val="000000" w:themeColor="text1"/>
          <w:sz w:val="24"/>
          <w:szCs w:val="24"/>
        </w:rPr>
        <w:t>контента</w:t>
      </w:r>
      <w:proofErr w:type="spellEnd"/>
      <w:r w:rsidRPr="0088067D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EA5212">
        <w:rPr>
          <w:rFonts w:ascii="Times New Roman" w:hAnsi="Times New Roman"/>
          <w:color w:val="000000" w:themeColor="text1"/>
          <w:sz w:val="24"/>
          <w:szCs w:val="24"/>
        </w:rPr>
        <w:t xml:space="preserve">конкретной </w:t>
      </w:r>
      <w:r w:rsidRPr="0088067D">
        <w:rPr>
          <w:rFonts w:ascii="Times New Roman" w:hAnsi="Times New Roman"/>
          <w:color w:val="000000" w:themeColor="text1"/>
          <w:sz w:val="24"/>
          <w:szCs w:val="24"/>
        </w:rPr>
        <w:t>стране.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8067D">
        <w:rPr>
          <w:rFonts w:ascii="Times New Roman" w:hAnsi="Times New Roman"/>
          <w:color w:val="000000" w:themeColor="text1"/>
          <w:sz w:val="24"/>
          <w:szCs w:val="24"/>
        </w:rPr>
        <w:t xml:space="preserve">Среди социально-экономических факторов уровень дохода на душу населения и степень неравенства доходов, по-видимому, оказывают наибольшее влияние на </w:t>
      </w:r>
      <w:r w:rsidR="00B36073">
        <w:rPr>
          <w:rFonts w:ascii="Times New Roman" w:hAnsi="Times New Roman"/>
          <w:color w:val="000000" w:themeColor="text1"/>
          <w:sz w:val="24"/>
          <w:szCs w:val="24"/>
        </w:rPr>
        <w:t xml:space="preserve">потребление пиратского </w:t>
      </w:r>
      <w:proofErr w:type="spellStart"/>
      <w:r w:rsidR="00B36073">
        <w:rPr>
          <w:rFonts w:ascii="Times New Roman" w:hAnsi="Times New Roman"/>
          <w:color w:val="000000" w:themeColor="text1"/>
          <w:sz w:val="24"/>
          <w:szCs w:val="24"/>
        </w:rPr>
        <w:t>контента</w:t>
      </w:r>
      <w:proofErr w:type="spellEnd"/>
      <w:r w:rsidRPr="0088067D">
        <w:rPr>
          <w:rFonts w:ascii="Times New Roman" w:hAnsi="Times New Roman"/>
          <w:color w:val="000000" w:themeColor="text1"/>
          <w:sz w:val="24"/>
          <w:szCs w:val="24"/>
        </w:rPr>
        <w:t xml:space="preserve">: высокий доход на душу населения и низкая степень неравенства в доходах </w:t>
      </w:r>
      <w:r w:rsidR="00B36073">
        <w:rPr>
          <w:rFonts w:ascii="Times New Roman" w:hAnsi="Times New Roman"/>
          <w:color w:val="000000" w:themeColor="text1"/>
          <w:sz w:val="24"/>
          <w:szCs w:val="24"/>
        </w:rPr>
        <w:t>приводят к более низкому уровню нелегального потребления</w:t>
      </w:r>
      <w:r w:rsidRPr="0088067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88067D">
        <w:rPr>
          <w:rFonts w:ascii="Times New Roman" w:hAnsi="Times New Roman"/>
          <w:color w:val="000000" w:themeColor="text1"/>
          <w:sz w:val="24"/>
          <w:szCs w:val="24"/>
        </w:rPr>
        <w:t xml:space="preserve">Общий размер рынка, измеряемый количеством </w:t>
      </w:r>
      <w:proofErr w:type="spellStart"/>
      <w:r w:rsidRPr="0088067D">
        <w:rPr>
          <w:rFonts w:ascii="Times New Roman" w:hAnsi="Times New Roman"/>
          <w:color w:val="000000" w:themeColor="text1"/>
          <w:sz w:val="24"/>
          <w:szCs w:val="24"/>
        </w:rPr>
        <w:t>интернет-пользователей</w:t>
      </w:r>
      <w:proofErr w:type="spellEnd"/>
      <w:r w:rsidRPr="0088067D">
        <w:rPr>
          <w:rFonts w:ascii="Times New Roman" w:hAnsi="Times New Roman"/>
          <w:color w:val="000000" w:themeColor="text1"/>
          <w:sz w:val="24"/>
          <w:szCs w:val="24"/>
        </w:rPr>
        <w:t xml:space="preserve"> в стране, также имеет значение: потребление пиратского </w:t>
      </w:r>
      <w:proofErr w:type="spellStart"/>
      <w:r w:rsidRPr="0088067D">
        <w:rPr>
          <w:rFonts w:ascii="Times New Roman" w:hAnsi="Times New Roman"/>
          <w:color w:val="000000" w:themeColor="text1"/>
          <w:sz w:val="24"/>
          <w:szCs w:val="24"/>
        </w:rPr>
        <w:t>контента</w:t>
      </w:r>
      <w:proofErr w:type="spellEnd"/>
      <w:r w:rsidRPr="0088067D">
        <w:rPr>
          <w:rFonts w:ascii="Times New Roman" w:hAnsi="Times New Roman"/>
          <w:color w:val="000000" w:themeColor="text1"/>
          <w:sz w:val="24"/>
          <w:szCs w:val="24"/>
        </w:rPr>
        <w:t xml:space="preserve"> ниже, при прочих равных условиях, в более крупных государствах.</w:t>
      </w:r>
      <w:proofErr w:type="gramEnd"/>
    </w:p>
    <w:p w:rsidR="00143F02" w:rsidRDefault="009A6961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Различные</w:t>
      </w:r>
      <w:r w:rsidRPr="009A696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партнеры ФИАПФ</w:t>
      </w:r>
      <w:r w:rsidRPr="009A6961">
        <w:rPr>
          <w:rFonts w:ascii="Times New Roman" w:hAnsi="Times New Roman"/>
          <w:color w:val="000000" w:themeColor="text1"/>
          <w:sz w:val="24"/>
          <w:szCs w:val="24"/>
        </w:rPr>
        <w:t>, работающие в области кин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9A6961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AV</w:t>
      </w:r>
      <w:r w:rsidR="00556980">
        <w:rPr>
          <w:rFonts w:ascii="Times New Roman" w:hAnsi="Times New Roman"/>
          <w:color w:val="000000" w:themeColor="text1"/>
          <w:sz w:val="24"/>
          <w:szCs w:val="24"/>
        </w:rPr>
        <w:t xml:space="preserve"> индустрии</w:t>
      </w:r>
      <w:r w:rsidRPr="009A6961">
        <w:rPr>
          <w:rFonts w:ascii="Times New Roman" w:hAnsi="Times New Roman"/>
          <w:color w:val="000000" w:themeColor="text1"/>
          <w:sz w:val="24"/>
          <w:szCs w:val="24"/>
        </w:rPr>
        <w:t xml:space="preserve">, выразили обеспокоенность тем, что в </w:t>
      </w:r>
      <w:r w:rsidR="00EA5212">
        <w:rPr>
          <w:rFonts w:ascii="Times New Roman" w:hAnsi="Times New Roman"/>
          <w:color w:val="000000" w:themeColor="text1"/>
          <w:sz w:val="24"/>
          <w:szCs w:val="24"/>
        </w:rPr>
        <w:t>отчете</w:t>
      </w:r>
      <w:r w:rsidRPr="009A6961">
        <w:rPr>
          <w:rFonts w:ascii="Times New Roman" w:hAnsi="Times New Roman"/>
          <w:color w:val="000000" w:themeColor="text1"/>
          <w:sz w:val="24"/>
          <w:szCs w:val="24"/>
        </w:rPr>
        <w:t xml:space="preserve"> не оценивается влияние усилий по </w:t>
      </w:r>
      <w:r>
        <w:rPr>
          <w:rFonts w:ascii="Times New Roman" w:hAnsi="Times New Roman"/>
          <w:color w:val="000000" w:themeColor="text1"/>
          <w:sz w:val="24"/>
          <w:szCs w:val="24"/>
        </w:rPr>
        <w:t>проведению</w:t>
      </w:r>
      <w:r w:rsidRPr="009A69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правоохранительных</w:t>
      </w:r>
      <w:r w:rsidRPr="009A6961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9A6961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их мнению, э</w:t>
      </w:r>
      <w:r w:rsidRPr="009A6961">
        <w:rPr>
          <w:rFonts w:ascii="Times New Roman" w:hAnsi="Times New Roman"/>
          <w:color w:val="000000" w:themeColor="text1"/>
          <w:sz w:val="24"/>
          <w:szCs w:val="24"/>
        </w:rPr>
        <w:t xml:space="preserve">то искажает вывод </w:t>
      </w:r>
      <w:r>
        <w:rPr>
          <w:rFonts w:ascii="Times New Roman" w:hAnsi="Times New Roman"/>
          <w:color w:val="000000" w:themeColor="text1"/>
          <w:sz w:val="24"/>
          <w:szCs w:val="24"/>
        </w:rPr>
        <w:t>исследования о том,</w:t>
      </w:r>
      <w:r w:rsidRPr="009A6961">
        <w:rPr>
          <w:rFonts w:ascii="Times New Roman" w:hAnsi="Times New Roman"/>
          <w:color w:val="000000" w:themeColor="text1"/>
          <w:sz w:val="24"/>
          <w:szCs w:val="24"/>
        </w:rPr>
        <w:t xml:space="preserve"> что пиратство снижается и будет продолжать снижаться, если цены будут снижены. Заинтересованные стороны </w:t>
      </w:r>
      <w:r w:rsidR="001E412F">
        <w:rPr>
          <w:rFonts w:ascii="Times New Roman" w:hAnsi="Times New Roman"/>
          <w:color w:val="000000" w:themeColor="text1"/>
          <w:sz w:val="24"/>
          <w:szCs w:val="24"/>
        </w:rPr>
        <w:t xml:space="preserve">поделились своим мнением с Обсерваторией и обратились </w:t>
      </w:r>
      <w:r w:rsidRPr="009A6961">
        <w:rPr>
          <w:rFonts w:ascii="Times New Roman" w:hAnsi="Times New Roman"/>
          <w:color w:val="000000" w:themeColor="text1"/>
          <w:sz w:val="24"/>
          <w:szCs w:val="24"/>
        </w:rPr>
        <w:t xml:space="preserve">с просьбой о </w:t>
      </w:r>
      <w:r w:rsidR="001E412F">
        <w:rPr>
          <w:rFonts w:ascii="Times New Roman" w:hAnsi="Times New Roman"/>
          <w:color w:val="000000" w:themeColor="text1"/>
          <w:sz w:val="24"/>
          <w:szCs w:val="24"/>
        </w:rPr>
        <w:t>том, чтобы в дальнейшем они могли принимать участие на более ранних стадиях проведения подобных исследований</w:t>
      </w:r>
      <w:r w:rsidRPr="009A696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E412F" w:rsidRDefault="001E412F" w:rsidP="001E412F">
      <w:pPr>
        <w:ind w:left="-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отчета имеется в распоряжении ФТМ.</w:t>
      </w:r>
    </w:p>
    <w:p w:rsidR="001E412F" w:rsidRDefault="001E412F" w:rsidP="001E412F">
      <w:pPr>
        <w:ind w:left="-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12F" w:rsidRPr="001E412F" w:rsidRDefault="001E412F" w:rsidP="001E412F">
      <w:pPr>
        <w:ind w:left="-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Отчет Европейской обсерватории</w:t>
      </w:r>
      <w:r w:rsidRPr="007B089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по нарушению прав интеллектуальной собственности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нелегальн</w:t>
      </w:r>
      <w:r w:rsidRPr="001E412F">
        <w:rPr>
          <w:rFonts w:ascii="Times New Roman" w:hAnsi="Times New Roman"/>
          <w:color w:val="000000" w:themeColor="text1"/>
          <w:sz w:val="24"/>
          <w:szCs w:val="24"/>
          <w:u w:val="single"/>
        </w:rPr>
        <w:t>ом IPTV в ЕС</w:t>
      </w:r>
    </w:p>
    <w:p w:rsidR="001E412F" w:rsidRDefault="001E412F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E412F" w:rsidRPr="001E412F" w:rsidRDefault="001E412F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412F">
        <w:rPr>
          <w:rFonts w:ascii="Times New Roman" w:hAnsi="Times New Roman"/>
          <w:color w:val="000000" w:themeColor="text1"/>
          <w:sz w:val="24"/>
          <w:szCs w:val="24"/>
        </w:rPr>
        <w:t xml:space="preserve">В отчете утверждается, что интерактивность, обеспечиваемая Интернетом, способствовала росту несанкционированной доставки </w:t>
      </w:r>
      <w:r w:rsidR="00900796">
        <w:rPr>
          <w:rFonts w:ascii="Times New Roman" w:hAnsi="Times New Roman"/>
          <w:color w:val="000000" w:themeColor="text1"/>
          <w:sz w:val="24"/>
          <w:szCs w:val="24"/>
        </w:rPr>
        <w:t xml:space="preserve">интерактивного телевидения (IPTV), и, согласно оценкам, </w:t>
      </w:r>
      <w:r w:rsidRPr="001E412F">
        <w:rPr>
          <w:rFonts w:ascii="Times New Roman" w:hAnsi="Times New Roman"/>
          <w:color w:val="000000" w:themeColor="text1"/>
          <w:sz w:val="24"/>
          <w:szCs w:val="24"/>
        </w:rPr>
        <w:t xml:space="preserve">незаконный доход, полученный в результате этого в 2018 году, составил 941,7 млн. </w:t>
      </w:r>
      <w:r w:rsidR="0090079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EA5212">
        <w:rPr>
          <w:rFonts w:ascii="Times New Roman" w:hAnsi="Times New Roman"/>
          <w:color w:val="000000" w:themeColor="text1"/>
          <w:sz w:val="24"/>
          <w:szCs w:val="24"/>
        </w:rPr>
        <w:t>вро, полученных за счет нелегаль</w:t>
      </w:r>
      <w:r w:rsidRPr="001E412F">
        <w:rPr>
          <w:rFonts w:ascii="Times New Roman" w:hAnsi="Times New Roman"/>
          <w:color w:val="000000" w:themeColor="text1"/>
          <w:sz w:val="24"/>
          <w:szCs w:val="24"/>
        </w:rPr>
        <w:t>ных услуг, к</w:t>
      </w:r>
      <w:r w:rsidR="00900796">
        <w:rPr>
          <w:rFonts w:ascii="Times New Roman" w:hAnsi="Times New Roman"/>
          <w:color w:val="000000" w:themeColor="text1"/>
          <w:sz w:val="24"/>
          <w:szCs w:val="24"/>
        </w:rPr>
        <w:t>оторыми пользовались 13,7 млн. ч</w:t>
      </w:r>
      <w:r w:rsidRPr="001E412F">
        <w:rPr>
          <w:rFonts w:ascii="Times New Roman" w:hAnsi="Times New Roman"/>
          <w:color w:val="000000" w:themeColor="text1"/>
          <w:sz w:val="24"/>
          <w:szCs w:val="24"/>
        </w:rPr>
        <w:t xml:space="preserve">еловек в ЕС (3,6% </w:t>
      </w:r>
      <w:r w:rsidR="00900796" w:rsidRPr="001E412F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="00900796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государств-членов ЕС</w:t>
      </w:r>
      <w:r w:rsidRPr="001E412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1E412F" w:rsidRDefault="001E412F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412F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gramStart"/>
      <w:r w:rsidR="008B4917">
        <w:rPr>
          <w:rFonts w:ascii="Times New Roman" w:hAnsi="Times New Roman"/>
          <w:color w:val="000000" w:themeColor="text1"/>
          <w:sz w:val="24"/>
          <w:szCs w:val="24"/>
        </w:rPr>
        <w:t>таких</w:t>
      </w:r>
      <w:proofErr w:type="gramEnd"/>
      <w:r w:rsidR="008B4917">
        <w:rPr>
          <w:rFonts w:ascii="Times New Roman" w:hAnsi="Times New Roman"/>
          <w:color w:val="000000" w:themeColor="text1"/>
          <w:sz w:val="24"/>
          <w:szCs w:val="24"/>
        </w:rPr>
        <w:t xml:space="preserve"> нелегальных </w:t>
      </w:r>
      <w:proofErr w:type="spellStart"/>
      <w:r w:rsidR="008B4917">
        <w:rPr>
          <w:rFonts w:ascii="Times New Roman" w:hAnsi="Times New Roman"/>
          <w:color w:val="000000" w:themeColor="text1"/>
          <w:sz w:val="24"/>
          <w:szCs w:val="24"/>
        </w:rPr>
        <w:t>бизнес-моделях</w:t>
      </w:r>
      <w:proofErr w:type="spellEnd"/>
      <w:r w:rsidRPr="001E412F">
        <w:rPr>
          <w:rFonts w:ascii="Times New Roman" w:hAnsi="Times New Roman"/>
          <w:color w:val="000000" w:themeColor="text1"/>
          <w:sz w:val="24"/>
          <w:szCs w:val="24"/>
        </w:rPr>
        <w:t xml:space="preserve"> обычно исполь</w:t>
      </w:r>
      <w:r w:rsidR="008B4917">
        <w:rPr>
          <w:rFonts w:ascii="Times New Roman" w:hAnsi="Times New Roman"/>
          <w:color w:val="000000" w:themeColor="text1"/>
          <w:sz w:val="24"/>
          <w:szCs w:val="24"/>
        </w:rPr>
        <w:t>зуются развивающиеся технологии</w:t>
      </w:r>
      <w:r w:rsidRPr="001E412F">
        <w:rPr>
          <w:rFonts w:ascii="Times New Roman" w:hAnsi="Times New Roman"/>
          <w:color w:val="000000" w:themeColor="text1"/>
          <w:sz w:val="24"/>
          <w:szCs w:val="24"/>
        </w:rPr>
        <w:t xml:space="preserve"> и в </w:t>
      </w:r>
      <w:r w:rsidR="008B4917">
        <w:rPr>
          <w:rFonts w:ascii="Times New Roman" w:hAnsi="Times New Roman"/>
          <w:color w:val="000000" w:themeColor="text1"/>
          <w:sz w:val="24"/>
          <w:szCs w:val="24"/>
        </w:rPr>
        <w:t>данном</w:t>
      </w:r>
      <w:r w:rsidRPr="001E412F">
        <w:rPr>
          <w:rFonts w:ascii="Times New Roman" w:hAnsi="Times New Roman"/>
          <w:color w:val="000000" w:themeColor="text1"/>
          <w:sz w:val="24"/>
          <w:szCs w:val="24"/>
        </w:rPr>
        <w:t xml:space="preserve"> отчете </w:t>
      </w:r>
      <w:r w:rsidR="008B4917">
        <w:rPr>
          <w:rFonts w:ascii="Times New Roman" w:hAnsi="Times New Roman"/>
          <w:color w:val="000000" w:themeColor="text1"/>
          <w:sz w:val="24"/>
          <w:szCs w:val="24"/>
        </w:rPr>
        <w:t xml:space="preserve">рассмотрены </w:t>
      </w:r>
      <w:r w:rsidRPr="001E412F">
        <w:rPr>
          <w:rFonts w:ascii="Times New Roman" w:hAnsi="Times New Roman"/>
          <w:color w:val="000000" w:themeColor="text1"/>
          <w:sz w:val="24"/>
          <w:szCs w:val="24"/>
        </w:rPr>
        <w:t xml:space="preserve">технические аспекты, сложные </w:t>
      </w:r>
      <w:r w:rsidR="008B4917">
        <w:rPr>
          <w:rFonts w:ascii="Times New Roman" w:hAnsi="Times New Roman"/>
          <w:color w:val="000000" w:themeColor="text1"/>
          <w:sz w:val="24"/>
          <w:szCs w:val="24"/>
        </w:rPr>
        <w:t xml:space="preserve">цепочки доставки </w:t>
      </w:r>
      <w:r w:rsidRPr="001E412F">
        <w:rPr>
          <w:rFonts w:ascii="Times New Roman" w:hAnsi="Times New Roman"/>
          <w:color w:val="000000" w:themeColor="text1"/>
          <w:sz w:val="24"/>
          <w:szCs w:val="24"/>
        </w:rPr>
        <w:t>(включая связи с организованной преступностью), свя</w:t>
      </w:r>
      <w:r w:rsidR="00EA5212">
        <w:rPr>
          <w:rFonts w:ascii="Times New Roman" w:hAnsi="Times New Roman"/>
          <w:color w:val="000000" w:themeColor="text1"/>
          <w:sz w:val="24"/>
          <w:szCs w:val="24"/>
        </w:rPr>
        <w:t>занные с этим правовые вопросы и судебная практика</w:t>
      </w:r>
      <w:r w:rsidRPr="001E412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E412F" w:rsidRDefault="001E412F" w:rsidP="008B4917">
      <w:pPr>
        <w:ind w:left="-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отчета имеется в распоряжении ФТМ.</w:t>
      </w:r>
    </w:p>
    <w:p w:rsidR="00186183" w:rsidRDefault="00186183" w:rsidP="008B4917">
      <w:pPr>
        <w:ind w:left="-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183" w:rsidRPr="001E412F" w:rsidRDefault="00186183" w:rsidP="008B4917">
      <w:pPr>
        <w:ind w:left="-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3F02" w:rsidRDefault="00143F02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86183" w:rsidRDefault="00497392" w:rsidP="00186183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38F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Юридическая фирма «ФТМ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Энтертейнмент»              </w:t>
      </w:r>
    </w:p>
    <w:p w:rsidR="00497392" w:rsidRDefault="00497392" w:rsidP="00186183">
      <w:pPr>
        <w:ind w:left="-142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497392" w:rsidRDefault="00497392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Подготовила</w:t>
      </w:r>
      <w:r w:rsidRPr="00A82A9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497392" w:rsidRDefault="00497392" w:rsidP="001E412F">
      <w:pPr>
        <w:ind w:left="-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A97">
        <w:rPr>
          <w:rFonts w:ascii="Times New Roman" w:hAnsi="Times New Roman"/>
          <w:color w:val="000000" w:themeColor="text1"/>
          <w:sz w:val="24"/>
          <w:szCs w:val="24"/>
        </w:rPr>
        <w:t>Зыбина Виктория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556980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8B4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8B491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6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497392" w:rsidRPr="00CB02B9" w:rsidRDefault="00497392" w:rsidP="001E412F">
      <w:pPr>
        <w:ind w:left="-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97392" w:rsidRPr="00CB02B9" w:rsidSect="00F4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EE" w:rsidRDefault="00343FEE" w:rsidP="0077102E">
      <w:pPr>
        <w:spacing w:after="0" w:line="240" w:lineRule="auto"/>
      </w:pPr>
      <w:r>
        <w:separator/>
      </w:r>
    </w:p>
  </w:endnote>
  <w:endnote w:type="continuationSeparator" w:id="0">
    <w:p w:rsidR="00343FEE" w:rsidRDefault="00343FEE" w:rsidP="0077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EE" w:rsidRDefault="00343FEE" w:rsidP="0077102E">
      <w:pPr>
        <w:spacing w:after="0" w:line="240" w:lineRule="auto"/>
      </w:pPr>
      <w:r>
        <w:separator/>
      </w:r>
    </w:p>
  </w:footnote>
  <w:footnote w:type="continuationSeparator" w:id="0">
    <w:p w:rsidR="00343FEE" w:rsidRDefault="00343FEE" w:rsidP="00771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85D"/>
    <w:multiLevelType w:val="multilevel"/>
    <w:tmpl w:val="A1F8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2589C"/>
    <w:multiLevelType w:val="multilevel"/>
    <w:tmpl w:val="6514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098"/>
    <w:rsid w:val="000245C7"/>
    <w:rsid w:val="000461E6"/>
    <w:rsid w:val="00073377"/>
    <w:rsid w:val="00077624"/>
    <w:rsid w:val="000D7916"/>
    <w:rsid w:val="000F495B"/>
    <w:rsid w:val="001422AA"/>
    <w:rsid w:val="00143F02"/>
    <w:rsid w:val="001564DB"/>
    <w:rsid w:val="00156853"/>
    <w:rsid w:val="001713B2"/>
    <w:rsid w:val="001736F3"/>
    <w:rsid w:val="00173B27"/>
    <w:rsid w:val="00186183"/>
    <w:rsid w:val="001876FE"/>
    <w:rsid w:val="00191CD2"/>
    <w:rsid w:val="001A71C3"/>
    <w:rsid w:val="001A7C24"/>
    <w:rsid w:val="001B64A6"/>
    <w:rsid w:val="001C47F0"/>
    <w:rsid w:val="001E412F"/>
    <w:rsid w:val="001F5560"/>
    <w:rsid w:val="00205991"/>
    <w:rsid w:val="002272FD"/>
    <w:rsid w:val="00247F6A"/>
    <w:rsid w:val="00256D5A"/>
    <w:rsid w:val="002627E0"/>
    <w:rsid w:val="002806B2"/>
    <w:rsid w:val="002B0098"/>
    <w:rsid w:val="002C0E56"/>
    <w:rsid w:val="002D3B18"/>
    <w:rsid w:val="002F0C09"/>
    <w:rsid w:val="002F16A3"/>
    <w:rsid w:val="00323604"/>
    <w:rsid w:val="003278C3"/>
    <w:rsid w:val="00333219"/>
    <w:rsid w:val="00343FEE"/>
    <w:rsid w:val="003638E4"/>
    <w:rsid w:val="0037036F"/>
    <w:rsid w:val="003C0577"/>
    <w:rsid w:val="003D40E9"/>
    <w:rsid w:val="003E4C1F"/>
    <w:rsid w:val="003E6CE8"/>
    <w:rsid w:val="003F0FF4"/>
    <w:rsid w:val="0041109F"/>
    <w:rsid w:val="00414157"/>
    <w:rsid w:val="004234B4"/>
    <w:rsid w:val="00437B2C"/>
    <w:rsid w:val="0046249B"/>
    <w:rsid w:val="00465C9F"/>
    <w:rsid w:val="004861C4"/>
    <w:rsid w:val="004942A7"/>
    <w:rsid w:val="00497392"/>
    <w:rsid w:val="004A174E"/>
    <w:rsid w:val="004A3492"/>
    <w:rsid w:val="004B66AF"/>
    <w:rsid w:val="004C7BA8"/>
    <w:rsid w:val="004D5A36"/>
    <w:rsid w:val="004E0A06"/>
    <w:rsid w:val="004F2755"/>
    <w:rsid w:val="004F66F5"/>
    <w:rsid w:val="00500E59"/>
    <w:rsid w:val="0053660C"/>
    <w:rsid w:val="00540D0A"/>
    <w:rsid w:val="0055564C"/>
    <w:rsid w:val="00556980"/>
    <w:rsid w:val="00556BB4"/>
    <w:rsid w:val="00575C23"/>
    <w:rsid w:val="0058446F"/>
    <w:rsid w:val="0058699C"/>
    <w:rsid w:val="005A63EF"/>
    <w:rsid w:val="005D0556"/>
    <w:rsid w:val="005D60A4"/>
    <w:rsid w:val="005E7C17"/>
    <w:rsid w:val="005F1196"/>
    <w:rsid w:val="00611881"/>
    <w:rsid w:val="006504DF"/>
    <w:rsid w:val="00650ADE"/>
    <w:rsid w:val="006571CB"/>
    <w:rsid w:val="00690A07"/>
    <w:rsid w:val="006A11EA"/>
    <w:rsid w:val="006B4FE0"/>
    <w:rsid w:val="00707E49"/>
    <w:rsid w:val="00707F53"/>
    <w:rsid w:val="00725BFD"/>
    <w:rsid w:val="0074452A"/>
    <w:rsid w:val="00751C8D"/>
    <w:rsid w:val="0077102E"/>
    <w:rsid w:val="0079185E"/>
    <w:rsid w:val="00793507"/>
    <w:rsid w:val="00796D6F"/>
    <w:rsid w:val="007977BC"/>
    <w:rsid w:val="007A03AB"/>
    <w:rsid w:val="007B089B"/>
    <w:rsid w:val="007D2181"/>
    <w:rsid w:val="007F5A0F"/>
    <w:rsid w:val="008051EC"/>
    <w:rsid w:val="00811B33"/>
    <w:rsid w:val="00871883"/>
    <w:rsid w:val="00874188"/>
    <w:rsid w:val="0088067D"/>
    <w:rsid w:val="00884C6D"/>
    <w:rsid w:val="008A53B4"/>
    <w:rsid w:val="008B4917"/>
    <w:rsid w:val="008F2280"/>
    <w:rsid w:val="00900796"/>
    <w:rsid w:val="00901068"/>
    <w:rsid w:val="00945D18"/>
    <w:rsid w:val="00947DD6"/>
    <w:rsid w:val="009724B3"/>
    <w:rsid w:val="00975A9D"/>
    <w:rsid w:val="009767A7"/>
    <w:rsid w:val="00980FCA"/>
    <w:rsid w:val="0099263D"/>
    <w:rsid w:val="009A1F91"/>
    <w:rsid w:val="009A6961"/>
    <w:rsid w:val="009C598C"/>
    <w:rsid w:val="009D18D7"/>
    <w:rsid w:val="009E075C"/>
    <w:rsid w:val="009F4FFF"/>
    <w:rsid w:val="00A00CBE"/>
    <w:rsid w:val="00A10CF7"/>
    <w:rsid w:val="00A242DE"/>
    <w:rsid w:val="00A450C1"/>
    <w:rsid w:val="00A6691B"/>
    <w:rsid w:val="00A90C08"/>
    <w:rsid w:val="00AD1253"/>
    <w:rsid w:val="00AD509D"/>
    <w:rsid w:val="00AE2586"/>
    <w:rsid w:val="00AF3082"/>
    <w:rsid w:val="00AF3D84"/>
    <w:rsid w:val="00AF63E6"/>
    <w:rsid w:val="00B024F9"/>
    <w:rsid w:val="00B24C81"/>
    <w:rsid w:val="00B278BE"/>
    <w:rsid w:val="00B36073"/>
    <w:rsid w:val="00B54B37"/>
    <w:rsid w:val="00B64B6C"/>
    <w:rsid w:val="00B77C49"/>
    <w:rsid w:val="00B92B69"/>
    <w:rsid w:val="00B948D5"/>
    <w:rsid w:val="00BD5CFC"/>
    <w:rsid w:val="00BF3641"/>
    <w:rsid w:val="00C26464"/>
    <w:rsid w:val="00C44EAF"/>
    <w:rsid w:val="00C7717B"/>
    <w:rsid w:val="00C9216F"/>
    <w:rsid w:val="00CA7A82"/>
    <w:rsid w:val="00CB02B9"/>
    <w:rsid w:val="00D05E51"/>
    <w:rsid w:val="00D230CE"/>
    <w:rsid w:val="00D249C5"/>
    <w:rsid w:val="00D275F4"/>
    <w:rsid w:val="00D5232C"/>
    <w:rsid w:val="00D60B48"/>
    <w:rsid w:val="00D71D2A"/>
    <w:rsid w:val="00DD1CCC"/>
    <w:rsid w:val="00DD5405"/>
    <w:rsid w:val="00DE1743"/>
    <w:rsid w:val="00DE3FC5"/>
    <w:rsid w:val="00DE5FD3"/>
    <w:rsid w:val="00E271DD"/>
    <w:rsid w:val="00E36139"/>
    <w:rsid w:val="00E74355"/>
    <w:rsid w:val="00EA5212"/>
    <w:rsid w:val="00EC1EF1"/>
    <w:rsid w:val="00EF01FB"/>
    <w:rsid w:val="00EF7515"/>
    <w:rsid w:val="00F120DB"/>
    <w:rsid w:val="00F158C6"/>
    <w:rsid w:val="00F457B8"/>
    <w:rsid w:val="00F45EC9"/>
    <w:rsid w:val="00F461EB"/>
    <w:rsid w:val="00F47203"/>
    <w:rsid w:val="00F501AB"/>
    <w:rsid w:val="00F67095"/>
    <w:rsid w:val="00FA1A28"/>
    <w:rsid w:val="00FB254C"/>
    <w:rsid w:val="00FD1664"/>
    <w:rsid w:val="00FD6CA6"/>
    <w:rsid w:val="00FF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9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23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234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710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7102E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7102E"/>
    <w:rPr>
      <w:vertAlign w:val="superscript"/>
    </w:rPr>
  </w:style>
  <w:style w:type="paragraph" w:styleId="a6">
    <w:name w:val="Normal (Web)"/>
    <w:basedOn w:val="a"/>
    <w:uiPriority w:val="99"/>
    <w:unhideWhenUsed/>
    <w:rsid w:val="0036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638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38E4"/>
  </w:style>
  <w:style w:type="character" w:customStyle="1" w:styleId="10">
    <w:name w:val="Заголовок 1 Знак"/>
    <w:basedOn w:val="a0"/>
    <w:link w:val="1"/>
    <w:uiPriority w:val="9"/>
    <w:rsid w:val="00D23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230C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34B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8B52-7F84-4416-9DE1-209FCBFF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6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FTM Ent</Company>
  <LinksUpToDate>false</LinksUpToDate>
  <CharactersWithSpaces>16610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V.Z.</dc:creator>
  <cp:keywords/>
  <dc:description/>
  <cp:lastModifiedBy>V.Z.</cp:lastModifiedBy>
  <cp:revision>36</cp:revision>
  <dcterms:created xsi:type="dcterms:W3CDTF">2020-02-17T09:39:00Z</dcterms:created>
  <dcterms:modified xsi:type="dcterms:W3CDTF">2020-03-13T13:00:00Z</dcterms:modified>
</cp:coreProperties>
</file>